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eastAsia="宋体"/>
          <w:sz w:val="24"/>
          <w:szCs w:val="24"/>
        </w:rPr>
      </w:pPr>
      <w:r>
        <w:rPr>
          <w:rFonts w:hint="eastAsia" w:ascii="宋体" w:hAnsi="宋体" w:eastAsia="宋体"/>
          <w:b/>
          <w:bCs/>
          <w:sz w:val="32"/>
          <w:szCs w:val="32"/>
          <w:lang w:eastAsia="zh-CN"/>
        </w:rPr>
        <w:t>河南住方科技有限公司年产80万平方米铝合金门窗生产制造项目、扩建年产40万平方米铝合金门窗生产制造项目</w:t>
      </w:r>
      <w:r>
        <w:rPr>
          <w:rFonts w:ascii="宋体" w:hAnsi="宋体" w:eastAsia="宋体"/>
          <w:b/>
          <w:bCs/>
          <w:sz w:val="32"/>
          <w:szCs w:val="32"/>
        </w:rPr>
        <w:t>竣工环境保护验收</w:t>
      </w:r>
      <w:r>
        <w:rPr>
          <w:rFonts w:hint="eastAsia" w:ascii="宋体" w:hAnsi="宋体" w:eastAsia="宋体"/>
          <w:b/>
          <w:bCs/>
          <w:sz w:val="32"/>
          <w:szCs w:val="32"/>
        </w:rPr>
        <w:t>意见</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ascii="宋体" w:hAnsi="宋体" w:eastAsia="宋体"/>
          <w:sz w:val="28"/>
          <w:szCs w:val="28"/>
        </w:rPr>
      </w:pPr>
      <w:r>
        <w:rPr>
          <w:rFonts w:hint="eastAsia" w:ascii="宋体" w:hAnsi="宋体" w:eastAsia="宋体"/>
          <w:sz w:val="28"/>
          <w:szCs w:val="28"/>
          <w:lang w:val="en-US" w:eastAsia="zh-CN"/>
        </w:rPr>
        <w:t>河南住方科技有限公司</w:t>
      </w:r>
      <w:r>
        <w:rPr>
          <w:rFonts w:hint="eastAsia" w:ascii="宋体" w:hAnsi="宋体" w:eastAsia="宋体"/>
          <w:sz w:val="28"/>
          <w:szCs w:val="28"/>
        </w:rPr>
        <w:t>根据《建设项目环境保护管理条例》，并对照《建设项目竣工环境保护验收暂行办法》，</w:t>
      </w:r>
      <w:r>
        <w:rPr>
          <w:rFonts w:hint="eastAsia" w:ascii="宋体" w:hAnsi="宋体" w:eastAsia="宋体"/>
          <w:sz w:val="28"/>
          <w:szCs w:val="28"/>
          <w:lang w:eastAsia="zh-CN"/>
        </w:rPr>
        <w:t>严格按</w:t>
      </w:r>
      <w:r>
        <w:rPr>
          <w:rFonts w:hint="eastAsia" w:ascii="宋体" w:hAnsi="宋体" w:eastAsia="宋体"/>
          <w:sz w:val="28"/>
          <w:szCs w:val="28"/>
        </w:rPr>
        <w:t>照国家有关法律法规、建设项目竣工环境保护验收技术规范、项目环境影响报告和审批部门审批决定等要求组织本项目</w:t>
      </w:r>
      <w:r>
        <w:rPr>
          <w:rFonts w:hint="eastAsia" w:ascii="宋体" w:hAnsi="宋体" w:eastAsia="宋体"/>
          <w:sz w:val="28"/>
          <w:szCs w:val="28"/>
          <w:lang w:eastAsia="zh-CN"/>
        </w:rPr>
        <w:t>进行</w:t>
      </w:r>
      <w:r>
        <w:rPr>
          <w:rFonts w:hint="eastAsia" w:ascii="宋体" w:hAnsi="宋体" w:eastAsia="宋体"/>
          <w:sz w:val="28"/>
          <w:szCs w:val="28"/>
        </w:rPr>
        <w:t>竣工验收</w:t>
      </w:r>
      <w:r>
        <w:rPr>
          <w:rFonts w:hint="eastAsia" w:ascii="宋体" w:hAnsi="宋体" w:eastAsia="宋体"/>
          <w:sz w:val="28"/>
          <w:szCs w:val="28"/>
          <w:lang w:eastAsia="zh-CN"/>
        </w:rPr>
        <w:t>，</w:t>
      </w:r>
      <w:r>
        <w:rPr>
          <w:rFonts w:hint="eastAsia" w:ascii="宋体" w:hAnsi="宋体" w:eastAsia="宋体"/>
          <w:b w:val="0"/>
          <w:bCs w:val="0"/>
          <w:sz w:val="28"/>
          <w:szCs w:val="28"/>
          <w:highlight w:val="none"/>
          <w:u w:val="none"/>
          <w:lang w:eastAsia="zh-CN"/>
        </w:rPr>
        <w:t>成立验收组并实地</w:t>
      </w:r>
      <w:r>
        <w:rPr>
          <w:rFonts w:hint="eastAsia" w:ascii="宋体" w:hAnsi="宋体" w:eastAsia="宋体"/>
          <w:b w:val="0"/>
          <w:bCs w:val="0"/>
          <w:sz w:val="28"/>
          <w:szCs w:val="28"/>
          <w:highlight w:val="none"/>
          <w:u w:val="none"/>
        </w:rPr>
        <w:t>踏勘了现场</w:t>
      </w:r>
      <w:r>
        <w:rPr>
          <w:rFonts w:hint="eastAsia" w:ascii="宋体" w:hAnsi="宋体" w:eastAsia="宋体"/>
          <w:sz w:val="28"/>
          <w:szCs w:val="28"/>
        </w:rPr>
        <w:t>，听取了建设单位对项目进展情况、验收报告编制单位对验收报告和监测单位对监测报告的详细介绍，经认真讨论，提出验收意见如下：</w:t>
      </w:r>
    </w:p>
    <w:p>
      <w:pPr>
        <w:keepNext w:val="0"/>
        <w:keepLines w:val="0"/>
        <w:pageBreakBefore w:val="0"/>
        <w:numPr>
          <w:ilvl w:val="0"/>
          <w:numId w:val="1"/>
        </w:numPr>
        <w:kinsoku/>
        <w:wordWrap/>
        <w:overflowPunct/>
        <w:topLinePunct w:val="0"/>
        <w:autoSpaceDE/>
        <w:autoSpaceDN/>
        <w:bidi w:val="0"/>
        <w:adjustRightInd w:val="0"/>
        <w:snapToGrid w:val="0"/>
        <w:spacing w:line="360" w:lineRule="auto"/>
        <w:ind w:left="0" w:leftChars="0" w:right="0" w:rightChars="0" w:firstLine="562" w:firstLineChars="200"/>
        <w:textAlignment w:val="auto"/>
        <w:outlineLvl w:val="9"/>
        <w:rPr>
          <w:rFonts w:hint="eastAsia" w:ascii="宋体" w:hAnsi="宋体" w:eastAsia="宋体"/>
          <w:b/>
          <w:bCs/>
          <w:sz w:val="28"/>
          <w:szCs w:val="28"/>
        </w:rPr>
      </w:pPr>
      <w:r>
        <w:rPr>
          <w:rFonts w:hint="eastAsia" w:ascii="宋体" w:hAnsi="宋体" w:eastAsia="宋体"/>
          <w:b/>
          <w:bCs/>
          <w:sz w:val="28"/>
          <w:szCs w:val="28"/>
        </w:rPr>
        <w:t>工程建设基本情况</w:t>
      </w:r>
    </w:p>
    <w:p>
      <w:pPr>
        <w:keepNext w:val="0"/>
        <w:keepLines w:val="0"/>
        <w:pageBreakBefore w:val="0"/>
        <w:kinsoku/>
        <w:wordWrap/>
        <w:overflowPunct/>
        <w:topLinePunct w:val="0"/>
        <w:autoSpaceDE/>
        <w:autoSpaceDN/>
        <w:bidi w:val="0"/>
        <w:adjustRightInd w:val="0"/>
        <w:snapToGrid w:val="0"/>
        <w:spacing w:line="360" w:lineRule="auto"/>
        <w:ind w:left="0" w:leftChars="0" w:right="0" w:rightChars="0" w:firstLine="560" w:firstLineChars="200"/>
        <w:textAlignment w:val="auto"/>
        <w:outlineLvl w:val="9"/>
        <w:rPr>
          <w:rFonts w:hint="eastAsia" w:ascii="宋体" w:hAnsi="宋体" w:eastAsia="宋体"/>
          <w:sz w:val="28"/>
          <w:szCs w:val="28"/>
        </w:rPr>
      </w:pPr>
      <w:r>
        <w:rPr>
          <w:rFonts w:hint="default" w:ascii="宋体" w:hAnsi="宋体" w:eastAsia="宋体"/>
          <w:sz w:val="28"/>
          <w:szCs w:val="28"/>
        </w:rPr>
        <w:t>（一</w:t>
      </w:r>
      <w:r>
        <w:rPr>
          <w:rFonts w:hint="eastAsia" w:ascii="宋体" w:hAnsi="宋体" w:eastAsia="宋体"/>
          <w:sz w:val="28"/>
          <w:szCs w:val="28"/>
        </w:rPr>
        <w:t>）建设地点、规模、主要建设内容</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Times New Roman" w:hAnsi="Times New Roman" w:eastAsia="宋体" w:cs="Times New Roman"/>
          <w:sz w:val="28"/>
          <w:szCs w:val="28"/>
          <w:highlight w:val="none"/>
          <w:lang w:eastAsia="zh-CN"/>
        </w:rPr>
      </w:pPr>
      <w:r>
        <w:rPr>
          <w:rFonts w:hint="eastAsia" w:ascii="Times New Roman" w:hAnsi="Times New Roman" w:eastAsia="宋体" w:cs="Times New Roman"/>
          <w:sz w:val="28"/>
          <w:szCs w:val="28"/>
          <w:highlight w:val="none"/>
          <w:lang w:eastAsia="zh-CN"/>
        </w:rPr>
        <w:t>本项目位于</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新乡市卫辉市后河镇工业园区，</w:t>
      </w:r>
      <w:r>
        <w:rPr>
          <w:rFonts w:hint="eastAsia" w:ascii="Times New Roman" w:hAnsi="Times New Roman" w:eastAsia="宋体" w:cs="Times New Roman"/>
          <w:sz w:val="28"/>
          <w:szCs w:val="28"/>
          <w:highlight w:val="none"/>
          <w:lang w:eastAsia="zh-CN"/>
        </w:rPr>
        <w:t>占地面积</w:t>
      </w:r>
      <w:r>
        <w:rPr>
          <w:rFonts w:hint="eastAsia" w:ascii="Times New Roman" w:hAnsi="Times New Roman" w:eastAsia="宋体" w:cs="Times New Roman"/>
          <w:sz w:val="28"/>
          <w:szCs w:val="28"/>
          <w:highlight w:val="none"/>
          <w:lang w:val="en-US" w:eastAsia="zh-CN"/>
        </w:rPr>
        <w:t>20150</w:t>
      </w:r>
      <w:r>
        <w:rPr>
          <w:rFonts w:hint="eastAsia" w:ascii="Times New Roman" w:hAnsi="Times New Roman" w:eastAsia="宋体" w:cs="Times New Roman"/>
          <w:sz w:val="28"/>
          <w:szCs w:val="28"/>
          <w:highlight w:val="none"/>
          <w:lang w:eastAsia="zh-CN"/>
        </w:rPr>
        <w:t>m</w:t>
      </w:r>
      <w:r>
        <w:rPr>
          <w:rFonts w:hint="eastAsia" w:ascii="Times New Roman" w:hAnsi="Times New Roman" w:eastAsia="宋体" w:cs="Times New Roman"/>
          <w:sz w:val="28"/>
          <w:szCs w:val="28"/>
          <w:highlight w:val="none"/>
          <w:vertAlign w:val="superscript"/>
          <w:lang w:eastAsia="zh-CN"/>
        </w:rPr>
        <w:t>2</w:t>
      </w:r>
      <w:r>
        <w:rPr>
          <w:rFonts w:hint="eastAsia" w:ascii="Times New Roman" w:hAnsi="Times New Roman" w:eastAsia="宋体" w:cs="Times New Roman"/>
          <w:sz w:val="28"/>
          <w:szCs w:val="28"/>
          <w:highlight w:val="none"/>
          <w:lang w:eastAsia="zh-CN"/>
        </w:rPr>
        <w:t>，主要构筑物为</w:t>
      </w:r>
      <w:r>
        <w:rPr>
          <w:rFonts w:hint="eastAsia" w:ascii="Times New Roman" w:hAnsi="Times New Roman" w:eastAsia="宋体" w:cs="Times New Roman"/>
          <w:b w:val="0"/>
          <w:bCs w:val="0"/>
          <w:sz w:val="28"/>
          <w:szCs w:val="28"/>
          <w:highlight w:val="none"/>
          <w:u w:val="none"/>
          <w:lang w:eastAsia="zh-CN"/>
        </w:rPr>
        <w:t>生产</w:t>
      </w:r>
      <w:r>
        <w:rPr>
          <w:rFonts w:hint="default" w:ascii="Times New Roman" w:hAnsi="Times New Roman" w:eastAsia="宋体" w:cs="Times New Roman"/>
          <w:b w:val="0"/>
          <w:bCs w:val="0"/>
          <w:sz w:val="28"/>
          <w:szCs w:val="28"/>
          <w:highlight w:val="none"/>
          <w:u w:val="none"/>
          <w:lang w:eastAsia="zh-CN"/>
        </w:rPr>
        <w:t>车间</w:t>
      </w:r>
      <w:r>
        <w:rPr>
          <w:rFonts w:hint="eastAsia" w:ascii="Times New Roman" w:hAnsi="Times New Roman" w:eastAsia="宋体" w:cs="Times New Roman"/>
          <w:b w:val="0"/>
          <w:bCs w:val="0"/>
          <w:sz w:val="28"/>
          <w:szCs w:val="28"/>
          <w:highlight w:val="none"/>
          <w:u w:val="none"/>
          <w:lang w:eastAsia="zh-CN"/>
        </w:rPr>
        <w:t>、</w:t>
      </w:r>
      <w:r>
        <w:rPr>
          <w:rFonts w:hint="default" w:ascii="Times New Roman" w:hAnsi="Times New Roman" w:eastAsia="宋体" w:cs="Times New Roman"/>
          <w:color w:val="auto"/>
          <w:sz w:val="28"/>
          <w:szCs w:val="28"/>
          <w:highlight w:val="none"/>
          <w:vertAlign w:val="baseline"/>
          <w:lang w:eastAsia="zh-CN"/>
        </w:rPr>
        <w:t>原料、成品区</w:t>
      </w:r>
      <w:r>
        <w:rPr>
          <w:rFonts w:hint="default" w:ascii="Times New Roman" w:hAnsi="Times New Roman" w:eastAsia="宋体" w:cs="Times New Roman"/>
          <w:b w:val="0"/>
          <w:bCs w:val="0"/>
          <w:sz w:val="28"/>
          <w:szCs w:val="28"/>
          <w:highlight w:val="none"/>
          <w:u w:val="none"/>
          <w:lang w:eastAsia="zh-CN"/>
        </w:rPr>
        <w:t>和</w:t>
      </w:r>
      <w:r>
        <w:rPr>
          <w:rFonts w:hint="eastAsia" w:ascii="Times New Roman" w:hAnsi="Times New Roman" w:eastAsia="宋体" w:cs="Times New Roman"/>
          <w:b w:val="0"/>
          <w:bCs w:val="0"/>
          <w:sz w:val="28"/>
          <w:szCs w:val="28"/>
          <w:highlight w:val="none"/>
          <w:u w:val="none"/>
          <w:lang w:eastAsia="zh-CN"/>
        </w:rPr>
        <w:t>办公楼</w:t>
      </w:r>
      <w:r>
        <w:rPr>
          <w:rFonts w:hint="eastAsia" w:ascii="Times New Roman" w:hAnsi="Times New Roman" w:eastAsia="宋体" w:cs="Times New Roman"/>
          <w:sz w:val="28"/>
          <w:szCs w:val="28"/>
          <w:highlight w:val="none"/>
          <w:lang w:eastAsia="zh-CN"/>
        </w:rPr>
        <w:t>等。</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Times New Roman" w:hAnsi="Times New Roman" w:eastAsia="宋体" w:cs="Times New Roman"/>
          <w:sz w:val="24"/>
          <w:szCs w:val="24"/>
        </w:rPr>
      </w:pPr>
      <w:r>
        <w:rPr>
          <w:rFonts w:hint="default" w:ascii="宋体" w:hAnsi="宋体" w:eastAsia="宋体"/>
          <w:sz w:val="28"/>
          <w:szCs w:val="28"/>
        </w:rPr>
        <w:t>（二）建设过程及环保审批情况</w:t>
      </w:r>
    </w:p>
    <w:p>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河南住方科技有限公司根据市场需求</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投资</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4000</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万元</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在</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新乡市卫辉市后河镇工业园区</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建设</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年产80万平方米铝合金门窗生产制造项目</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于</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3</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月委托济源蓝天科技有限责任公司编制《</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河南住方科技有限公司年产80万平方米铝合金门窗生产制造项目</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环境影响报告表》，该项目环评报告于</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12</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16</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日通过卫辉市环境保护局审批，审批文号为卫环</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监</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19</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45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号</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pP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河南住方科技有限公司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投资</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2000</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万元</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在</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新乡市卫辉市后河镇工业园区</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建设</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扩建年产 40 万平方米铝合金门窗生产制造项目</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w:t>
      </w:r>
      <w:bookmarkStart w:id="0" w:name="_Hlk496987392"/>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于</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8</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月委托</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新乡市国环宏博节能环保科技有限公司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编制《</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河南住方科技有限公司扩建年产 40 万平方米铝合金门窗生产制造项目</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环境影响报告表》，该项目环评报告于</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22</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日</w:t>
      </w:r>
      <w:bookmarkStart w:id="1" w:name="_Hlk496980272"/>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通过卫辉市环境保护局审批，审批文号为卫环</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监</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31</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号。</w:t>
      </w:r>
      <w:bookmarkEnd w:id="0"/>
      <w:bookmarkEnd w:id="1"/>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pP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根据《建设项目环境保护管理条例》和《建设项目竣工环境保护验收暂行办法》（国环规环评[2017]4号），</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河南住方科技有限公司</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对本项目组织实施验收。</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年产80万平方米铝合金门窗生产制造</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项目于20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月开工建设，20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月竣工，并于20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开始设备调试</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年产80万平方米铝合金门窗生产制造</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项目于20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月开工建设，20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月竣工，并于20</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eastAsia="zh-CN"/>
          <w14:textFill>
            <w14:solidFill>
              <w14:schemeClr w14:val="tx1"/>
            </w14:solidFill>
          </w14:textFill>
        </w:rPr>
        <w:t>开始设备调试</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。河南永蓝检测技术有限公司于</w:t>
      </w:r>
      <w:bookmarkStart w:id="2" w:name="_Hlk496985984"/>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24</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日至</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25</w:t>
      </w:r>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日</w:t>
      </w:r>
      <w:bookmarkEnd w:id="2"/>
      <w:r>
        <w:rPr>
          <w:rFonts w:hint="default" w:ascii="Times New Roman" w:hAnsi="Times New Roman" w:eastAsia="宋体" w:cs="Times New Roman"/>
          <w:color w:val="000000" w:themeColor="text1"/>
          <w:sz w:val="28"/>
          <w:szCs w:val="28"/>
          <w:highlight w:val="none"/>
          <w:lang w:eastAsia="zh-CN"/>
          <w14:textFill>
            <w14:solidFill>
              <w14:schemeClr w14:val="tx1"/>
            </w14:solidFill>
          </w14:textFill>
        </w:rPr>
        <w:t>对建设项目进行了竣工验收监测并出具监测报告。</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2020年</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11</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月</w:t>
      </w:r>
      <w:r>
        <w:rPr>
          <w:rFonts w:hint="eastAsia" w:ascii="Times New Roman" w:hAnsi="Times New Roman" w:eastAsia="宋体" w:cs="Times New Roman"/>
          <w:color w:val="000000" w:themeColor="text1"/>
          <w:sz w:val="28"/>
          <w:szCs w:val="28"/>
          <w:highlight w:val="none"/>
          <w:lang w:val="en-US" w:eastAsia="zh-CN"/>
          <w14:textFill>
            <w14:solidFill>
              <w14:schemeClr w14:val="tx1"/>
            </w14:solidFill>
          </w14:textFill>
        </w:rPr>
        <w:t>河南住方科技有限公司</w:t>
      </w:r>
      <w:r>
        <w:rPr>
          <w:rFonts w:hint="default" w:ascii="Times New Roman" w:hAnsi="Times New Roman" w:eastAsia="宋体" w:cs="Times New Roman"/>
          <w:color w:val="000000" w:themeColor="text1"/>
          <w:sz w:val="28"/>
          <w:szCs w:val="28"/>
          <w:highlight w:val="none"/>
          <w:lang w:val="en-US" w:eastAsia="zh-CN"/>
          <w14:textFill>
            <w14:solidFill>
              <w14:schemeClr w14:val="tx1"/>
            </w14:solidFill>
          </w14:textFill>
        </w:rPr>
        <w:t>为该项目编制竣工环境保护验收监测报告。在项目到调试过程中无环境投诉、违法或处罚记录等。</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（三）投资情况</w:t>
      </w:r>
    </w:p>
    <w:p>
      <w:pPr>
        <w:keepNext w:val="0"/>
        <w:keepLines w:val="0"/>
        <w:pageBreakBefore w:val="0"/>
        <w:widowControl w:val="0"/>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cs="Times New Roman"/>
          <w:color w:val="000000" w:themeColor="text1"/>
          <w:sz w:val="28"/>
          <w:szCs w:val="28"/>
          <w:lang w:val="en-US" w:eastAsia="zh-CN"/>
          <w14:textFill>
            <w14:solidFill>
              <w14:schemeClr w14:val="tx1"/>
            </w14:solidFill>
          </w14:textFill>
        </w:rPr>
      </w:pPr>
      <w:r>
        <w:rPr>
          <w:rFonts w:hint="default" w:ascii="Times New Roman" w:hAnsi="Times New Roman" w:eastAsia="宋体" w:cs="Times New Roman"/>
          <w:color w:val="auto"/>
          <w:sz w:val="28"/>
          <w:szCs w:val="28"/>
          <w:highlight w:val="none"/>
        </w:rPr>
        <w:t>本项目总投资为</w:t>
      </w:r>
      <w:r>
        <w:rPr>
          <w:rFonts w:hint="eastAsia" w:ascii="Times New Roman" w:hAnsi="Times New Roman" w:eastAsia="宋体" w:cs="Times New Roman"/>
          <w:color w:val="auto"/>
          <w:sz w:val="28"/>
          <w:szCs w:val="28"/>
          <w:highlight w:val="none"/>
          <w:lang w:val="en-US" w:eastAsia="zh-CN"/>
        </w:rPr>
        <w:t>300</w:t>
      </w:r>
      <w:r>
        <w:rPr>
          <w:rFonts w:hint="default" w:ascii="Times New Roman" w:hAnsi="Times New Roman" w:eastAsia="宋体" w:cs="Times New Roman"/>
          <w:color w:val="auto"/>
          <w:sz w:val="28"/>
          <w:szCs w:val="28"/>
          <w:highlight w:val="none"/>
        </w:rPr>
        <w:t>万元，其中环保投资为</w:t>
      </w:r>
      <w:r>
        <w:rPr>
          <w:rFonts w:hint="eastAsia" w:ascii="Times New Roman" w:hAnsi="Times New Roman" w:eastAsia="宋体" w:cs="Times New Roman"/>
          <w:color w:val="auto"/>
          <w:sz w:val="28"/>
          <w:szCs w:val="28"/>
          <w:highlight w:val="none"/>
          <w:lang w:val="en-US" w:eastAsia="zh-CN"/>
        </w:rPr>
        <w:t>14.5</w:t>
      </w:r>
      <w:r>
        <w:rPr>
          <w:rFonts w:hint="default" w:ascii="Times New Roman" w:hAnsi="Times New Roman" w:eastAsia="宋体" w:cs="Times New Roman"/>
          <w:color w:val="auto"/>
          <w:sz w:val="28"/>
          <w:szCs w:val="28"/>
          <w:highlight w:val="none"/>
        </w:rPr>
        <w:t>万元，占总投资的</w:t>
      </w:r>
      <w:r>
        <w:rPr>
          <w:rFonts w:hint="eastAsia" w:ascii="Times New Roman" w:hAnsi="Times New Roman" w:eastAsia="宋体" w:cs="Times New Roman"/>
          <w:color w:val="auto"/>
          <w:sz w:val="28"/>
          <w:szCs w:val="28"/>
          <w:highlight w:val="none"/>
          <w:lang w:val="en-US" w:eastAsia="zh-CN"/>
        </w:rPr>
        <w:t>4.8</w:t>
      </w:r>
      <w:r>
        <w:rPr>
          <w:rFonts w:hint="default" w:ascii="Times New Roman" w:hAnsi="Times New Roman" w:eastAsia="宋体" w:cs="Times New Roman"/>
          <w:color w:val="auto"/>
          <w:sz w:val="28"/>
          <w:szCs w:val="28"/>
          <w:highlight w:val="none"/>
          <w:lang w:val="en-US" w:eastAsia="zh-CN"/>
        </w:rPr>
        <w:t>%</w:t>
      </w:r>
      <w:r>
        <w:rPr>
          <w:rFonts w:hint="default" w:ascii="Times New Roman" w:hAnsi="Times New Roman" w:eastAsia="宋体" w:cs="Times New Roman"/>
          <w:color w:val="auto"/>
          <w:sz w:val="28"/>
          <w:szCs w:val="28"/>
          <w:highlight w:val="none"/>
        </w:rPr>
        <w:t>；实际总投资</w:t>
      </w:r>
      <w:r>
        <w:rPr>
          <w:rFonts w:hint="eastAsia" w:ascii="Times New Roman" w:hAnsi="Times New Roman" w:eastAsia="宋体" w:cs="Times New Roman"/>
          <w:color w:val="auto"/>
          <w:sz w:val="28"/>
          <w:szCs w:val="28"/>
          <w:highlight w:val="none"/>
          <w:lang w:val="en-US" w:eastAsia="zh-CN"/>
        </w:rPr>
        <w:t>300</w:t>
      </w:r>
      <w:r>
        <w:rPr>
          <w:rFonts w:hint="default" w:ascii="Times New Roman" w:hAnsi="Times New Roman" w:eastAsia="宋体" w:cs="Times New Roman"/>
          <w:color w:val="auto"/>
          <w:sz w:val="28"/>
          <w:szCs w:val="28"/>
          <w:highlight w:val="none"/>
          <w:lang w:val="en-US" w:eastAsia="zh-CN"/>
        </w:rPr>
        <w:t>万元</w:t>
      </w:r>
      <w:r>
        <w:rPr>
          <w:rFonts w:hint="default" w:ascii="Times New Roman" w:hAnsi="Times New Roman" w:eastAsia="宋体" w:cs="Times New Roman"/>
          <w:color w:val="auto"/>
          <w:sz w:val="28"/>
          <w:szCs w:val="28"/>
          <w:highlight w:val="none"/>
        </w:rPr>
        <w:t>，其中环保投资</w:t>
      </w:r>
      <w:r>
        <w:rPr>
          <w:rFonts w:hint="eastAsia" w:ascii="Times New Roman" w:hAnsi="Times New Roman" w:eastAsia="宋体" w:cs="Times New Roman"/>
          <w:color w:val="auto"/>
          <w:sz w:val="28"/>
          <w:szCs w:val="28"/>
          <w:highlight w:val="none"/>
          <w:lang w:val="en-US" w:eastAsia="zh-CN"/>
        </w:rPr>
        <w:t>14.5</w:t>
      </w:r>
      <w:r>
        <w:rPr>
          <w:rFonts w:hint="default" w:ascii="Times New Roman" w:hAnsi="Times New Roman" w:eastAsia="宋体" w:cs="Times New Roman"/>
          <w:color w:val="auto"/>
          <w:sz w:val="28"/>
          <w:szCs w:val="28"/>
          <w:highlight w:val="none"/>
        </w:rPr>
        <w:t>万元，占实际总投资</w:t>
      </w:r>
      <w:r>
        <w:rPr>
          <w:rFonts w:hint="eastAsia" w:ascii="Times New Roman" w:hAnsi="Times New Roman" w:eastAsia="宋体" w:cs="Times New Roman"/>
          <w:color w:val="auto"/>
          <w:sz w:val="28"/>
          <w:szCs w:val="28"/>
          <w:highlight w:val="none"/>
          <w:lang w:val="en-US" w:eastAsia="zh-CN"/>
        </w:rPr>
        <w:t>4.8</w:t>
      </w:r>
      <w:r>
        <w:rPr>
          <w:rFonts w:hint="default" w:ascii="Times New Roman" w:hAnsi="Times New Roman" w:eastAsia="宋体" w:cs="Times New Roman"/>
          <w:color w:val="auto"/>
          <w:sz w:val="28"/>
          <w:szCs w:val="28"/>
          <w:highlight w:val="none"/>
        </w:rPr>
        <w:t>%。</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eastAsia" w:ascii="Times New Roman" w:hAnsi="Times New Roman" w:cs="Times New Roman"/>
          <w:color w:val="000000" w:themeColor="text1"/>
          <w:sz w:val="28"/>
          <w:szCs w:val="28"/>
          <w:lang w:eastAsia="zh-CN"/>
          <w14:textFill>
            <w14:solidFill>
              <w14:schemeClr w14:val="tx1"/>
            </w14:solidFill>
          </w14:textFill>
        </w:rPr>
      </w:pPr>
      <w:r>
        <w:rPr>
          <w:rFonts w:hint="eastAsia" w:ascii="Times New Roman" w:hAnsi="Times New Roman" w:cs="Times New Roman"/>
          <w:color w:val="000000" w:themeColor="text1"/>
          <w:sz w:val="28"/>
          <w:szCs w:val="28"/>
          <w:lang w:eastAsia="zh-CN"/>
          <w14:textFill>
            <w14:solidFill>
              <w14:schemeClr w14:val="tx1"/>
            </w14:solidFill>
          </w14:textFill>
        </w:rPr>
        <w:t>（四）验收范围</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rPr>
          <w:rFonts w:hint="default" w:ascii="Times New Roman" w:hAnsi="Times New Roman" w:cs="Times New Roman"/>
          <w:color w:val="000000" w:themeColor="text1"/>
          <w:sz w:val="28"/>
          <w:szCs w:val="28"/>
          <w:lang w:eastAsia="zh-CN"/>
          <w14:textFill>
            <w14:solidFill>
              <w14:schemeClr w14:val="tx1"/>
            </w14:solidFill>
          </w14:textFill>
        </w:rPr>
      </w:pPr>
      <w:r>
        <w:rPr>
          <w:rFonts w:hint="default" w:ascii="Times New Roman" w:hAnsi="Times New Roman" w:cs="Times New Roman"/>
          <w:color w:val="000000" w:themeColor="text1"/>
          <w:sz w:val="28"/>
          <w:szCs w:val="28"/>
          <w:lang w:eastAsia="zh-CN"/>
          <w14:textFill>
            <w14:solidFill>
              <w14:schemeClr w14:val="tx1"/>
            </w14:solidFill>
          </w14:textFill>
        </w:rPr>
        <w:t>本次验收的范围为</w:t>
      </w:r>
      <w:r>
        <w:rPr>
          <w:rFonts w:hint="eastAsia" w:ascii="Times New Roman" w:hAnsi="Times New Roman" w:cs="Times New Roman"/>
          <w:color w:val="000000" w:themeColor="text1"/>
          <w:sz w:val="28"/>
          <w:szCs w:val="28"/>
          <w:lang w:eastAsia="zh-CN"/>
          <w14:textFill>
            <w14:solidFill>
              <w14:schemeClr w14:val="tx1"/>
            </w14:solidFill>
          </w14:textFill>
        </w:rPr>
        <w:t>河南住方科技有限公司年产80万平方米铝合金门窗生产制造项目、扩建年产40万平方米铝合金门窗生产制造项目</w:t>
      </w:r>
      <w:r>
        <w:rPr>
          <w:rFonts w:hint="default" w:ascii="Times New Roman" w:hAnsi="Times New Roman" w:cs="Times New Roman"/>
          <w:color w:val="000000" w:themeColor="text1"/>
          <w:sz w:val="28"/>
          <w:szCs w:val="28"/>
          <w:lang w:eastAsia="zh-CN"/>
          <w14:textFill>
            <w14:solidFill>
              <w14:schemeClr w14:val="tx1"/>
            </w14:solidFill>
          </w14:textFill>
        </w:rPr>
        <w:t>的主体工程、环保工程、公用工程的建设、运行及环保要求的落实情况。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rPr>
          <w:rFonts w:hint="eastAsia" w:ascii="Times New Roman" w:hAnsi="Times New Roman" w:cs="Times New Roman"/>
          <w:b/>
          <w:bCs/>
          <w:color w:val="000000" w:themeColor="text1"/>
          <w:sz w:val="28"/>
          <w:szCs w:val="28"/>
          <w:lang w:eastAsia="zh-CN"/>
          <w14:textFill>
            <w14:solidFill>
              <w14:schemeClr w14:val="tx1"/>
            </w14:solidFill>
          </w14:textFill>
        </w:rPr>
      </w:pPr>
      <w:r>
        <w:rPr>
          <w:rFonts w:hint="eastAsia" w:ascii="Times New Roman" w:hAnsi="Times New Roman" w:cs="Times New Roman"/>
          <w:b/>
          <w:bCs/>
          <w:color w:val="000000" w:themeColor="text1"/>
          <w:sz w:val="28"/>
          <w:szCs w:val="28"/>
          <w:lang w:eastAsia="zh-CN"/>
          <w14:textFill>
            <w14:solidFill>
              <w14:schemeClr w14:val="tx1"/>
            </w14:solidFill>
          </w14:textFill>
        </w:rPr>
        <w:t>二、项目变动情况</w:t>
      </w:r>
    </w:p>
    <w:p>
      <w:pPr>
        <w:pStyle w:val="9"/>
        <w:keepNext w:val="0"/>
        <w:keepLines w:val="0"/>
        <w:pageBreakBefore w:val="0"/>
        <w:widowControl w:val="0"/>
        <w:kinsoku/>
        <w:wordWrap/>
        <w:overflowPunct/>
        <w:topLinePunct w:val="0"/>
        <w:autoSpaceDE/>
        <w:autoSpaceDN/>
        <w:bidi w:val="0"/>
        <w:adjustRightInd w:val="0"/>
        <w:snapToGrid w:val="0"/>
        <w:spacing w:line="360" w:lineRule="auto"/>
        <w:ind w:left="0" w:leftChars="0" w:firstLine="560" w:firstLineChars="200"/>
        <w:textAlignment w:val="auto"/>
        <w:rPr>
          <w:rFonts w:hint="eastAsia" w:ascii="Times New Roman" w:hAnsi="Times New Roman" w:eastAsia="宋体" w:cs="Times New Roman"/>
          <w:b w:val="0"/>
          <w:color w:val="auto"/>
          <w:kern w:val="2"/>
          <w:sz w:val="28"/>
          <w:szCs w:val="24"/>
          <w:highlight w:val="none"/>
          <w:lang w:val="en-US" w:eastAsia="zh-CN" w:bidi="ar-SA"/>
        </w:rPr>
      </w:pPr>
      <w:r>
        <w:rPr>
          <w:rFonts w:hint="eastAsia" w:ascii="Times New Roman" w:hAnsi="Times New Roman" w:eastAsia="宋体" w:cs="Times New Roman"/>
          <w:b w:val="0"/>
          <w:color w:val="auto"/>
          <w:kern w:val="2"/>
          <w:sz w:val="28"/>
          <w:szCs w:val="24"/>
          <w:highlight w:val="none"/>
          <w:lang w:val="en-US" w:eastAsia="zh-CN" w:bidi="ar-SA"/>
        </w:rPr>
        <w:t>经现场实地勘察，项目实际建设与原环评报告及环评批复存在以下变动：</w:t>
      </w:r>
    </w:p>
    <w:p>
      <w:pPr>
        <w:pStyle w:val="9"/>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108" w:rightChars="0" w:firstLine="560" w:firstLineChars="200"/>
        <w:textAlignment w:val="auto"/>
        <w:rPr>
          <w:rFonts w:hint="eastAsia" w:ascii="Times New Roman" w:hAnsi="Times New Roman" w:eastAsia="宋体" w:cs="Times New Roman"/>
          <w:b w:val="0"/>
          <w:color w:val="FF0000"/>
          <w:kern w:val="2"/>
          <w:sz w:val="28"/>
          <w:szCs w:val="24"/>
          <w:highlight w:val="none"/>
          <w:lang w:val="en-US" w:eastAsia="zh-CN" w:bidi="ar-SA"/>
        </w:rPr>
      </w:pPr>
      <w:r>
        <w:rPr>
          <w:rFonts w:hint="default" w:ascii="Times New Roman" w:hAnsi="Times New Roman" w:cs="Times New Roman"/>
          <w:sz w:val="28"/>
          <w:szCs w:val="28"/>
          <w:highlight w:val="none"/>
          <w:lang w:val="en-US" w:eastAsia="zh-CN"/>
        </w:rPr>
        <w:t>（1）</w:t>
      </w:r>
      <w:r>
        <w:rPr>
          <w:rFonts w:hint="eastAsia" w:ascii="Times New Roman" w:hAnsi="Times New Roman" w:eastAsia="宋体" w:cs="Times New Roman"/>
          <w:sz w:val="28"/>
          <w:szCs w:val="28"/>
          <w:highlight w:val="none"/>
          <w:lang w:val="en-US" w:eastAsia="zh-CN"/>
        </w:rPr>
        <w:t>生产设备变动：年产80万平方米铝合金门窗生产制造项目在实际生产过程中减少了1台数控双头锯，2台六轴端面铣，2台双柱液压冲床，1台双头仿型铣，3台组角机，2台数控角码锯，1台台钻，扩建年产40万平方米铝合金门窗生产制造</w:t>
      </w:r>
      <w:r>
        <w:rPr>
          <w:rFonts w:hint="default" w:ascii="Times New Roman" w:hAnsi="Times New Roman" w:eastAsia="宋体" w:cs="Times New Roman"/>
          <w:sz w:val="28"/>
          <w:szCs w:val="28"/>
          <w:highlight w:val="none"/>
          <w:lang w:val="en-US" w:eastAsia="zh-CN"/>
        </w:rPr>
        <w:t>项</w:t>
      </w:r>
      <w:r>
        <w:rPr>
          <w:rFonts w:hint="eastAsia" w:ascii="Times New Roman" w:hAnsi="Times New Roman" w:eastAsia="宋体" w:cs="Times New Roman"/>
          <w:sz w:val="28"/>
          <w:szCs w:val="28"/>
          <w:highlight w:val="none"/>
          <w:lang w:val="en-US" w:eastAsia="zh-CN"/>
        </w:rPr>
        <w:t>目在实际生产过程中减少了10台数控双头锯，1台六轴端面铣，3台双柱液压冲床，</w:t>
      </w:r>
      <w:r>
        <w:rPr>
          <w:rFonts w:hint="eastAsia" w:ascii="Times New Roman" w:hAnsi="Times New Roman" w:cs="Times New Roman"/>
          <w:sz w:val="28"/>
          <w:szCs w:val="28"/>
          <w:highlight w:val="none"/>
          <w:lang w:val="en-US" w:eastAsia="zh-CN"/>
        </w:rPr>
        <w:t>1</w:t>
      </w:r>
      <w:r>
        <w:rPr>
          <w:rFonts w:hint="eastAsia" w:ascii="Times New Roman" w:hAnsi="Times New Roman" w:eastAsia="宋体" w:cs="Times New Roman"/>
          <w:sz w:val="28"/>
          <w:szCs w:val="28"/>
          <w:highlight w:val="none"/>
          <w:lang w:val="en-US" w:eastAsia="zh-CN"/>
        </w:rPr>
        <w:t>台双头仿型铣，</w:t>
      </w:r>
      <w:r>
        <w:rPr>
          <w:rFonts w:hint="eastAsia" w:ascii="Times New Roman" w:hAnsi="Times New Roman" w:cs="Times New Roman"/>
          <w:sz w:val="28"/>
          <w:szCs w:val="28"/>
          <w:highlight w:val="none"/>
          <w:lang w:val="en-US" w:eastAsia="zh-CN"/>
        </w:rPr>
        <w:t>1台多头群钻，</w:t>
      </w:r>
      <w:r>
        <w:rPr>
          <w:rFonts w:hint="eastAsia" w:ascii="Times New Roman" w:hAnsi="Times New Roman" w:eastAsia="宋体" w:cs="Times New Roman"/>
          <w:sz w:val="28"/>
          <w:szCs w:val="28"/>
          <w:highlight w:val="none"/>
          <w:lang w:val="en-US" w:eastAsia="zh-CN"/>
        </w:rPr>
        <w:t>3台铰链机，</w:t>
      </w:r>
      <w:r>
        <w:rPr>
          <w:rFonts w:hint="eastAsia" w:ascii="Times New Roman" w:hAnsi="Times New Roman" w:cs="Times New Roman"/>
          <w:sz w:val="28"/>
          <w:szCs w:val="28"/>
          <w:highlight w:val="none"/>
          <w:lang w:val="en-US" w:eastAsia="zh-CN"/>
        </w:rPr>
        <w:t>2</w:t>
      </w:r>
      <w:r>
        <w:rPr>
          <w:rFonts w:hint="eastAsia" w:ascii="Times New Roman" w:hAnsi="Times New Roman" w:eastAsia="宋体" w:cs="Times New Roman"/>
          <w:sz w:val="28"/>
          <w:szCs w:val="28"/>
          <w:highlight w:val="none"/>
          <w:lang w:val="en-US" w:eastAsia="zh-CN"/>
        </w:rPr>
        <w:t>台平开液压机，与原环评报告对照，设备数量有所减少，但在实际建设时目前现有设备的生产能力能够达到75%产能的要求，不新增产能及污染物，符合验收要求。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宋体" w:hAnsi="宋体" w:eastAsia="宋体" w:cs="宋体"/>
          <w:b w:val="0"/>
          <w:kern w:val="2"/>
          <w:sz w:val="28"/>
          <w:szCs w:val="24"/>
          <w:highlight w:val="none"/>
          <w:lang w:val="en-US" w:eastAsia="zh-CN" w:bidi="ar-SA"/>
        </w:rPr>
      </w:pPr>
      <w:r>
        <w:rPr>
          <w:rFonts w:hint="default" w:ascii="Times New Roman" w:hAnsi="Times New Roman" w:eastAsia="宋体" w:cs="Times New Roman"/>
          <w:b w:val="0"/>
          <w:kern w:val="2"/>
          <w:sz w:val="28"/>
          <w:szCs w:val="24"/>
          <w:highlight w:val="none"/>
          <w:lang w:val="en-US" w:eastAsia="zh-CN" w:bidi="ar-SA"/>
        </w:rPr>
        <w:t>（2）</w:t>
      </w:r>
      <w:r>
        <w:rPr>
          <w:rFonts w:hint="eastAsia" w:ascii="宋体" w:hAnsi="宋体" w:eastAsia="宋体" w:cs="宋体"/>
          <w:b w:val="0"/>
          <w:kern w:val="2"/>
          <w:sz w:val="28"/>
          <w:szCs w:val="24"/>
          <w:highlight w:val="none"/>
          <w:lang w:val="en-US" w:eastAsia="zh-CN" w:bidi="ar-SA"/>
        </w:rPr>
        <w:t>工艺变动：与原环评相比，年产</w:t>
      </w:r>
      <w:r>
        <w:rPr>
          <w:rFonts w:hint="default" w:ascii="Times New Roman" w:hAnsi="Times New Roman" w:eastAsia="宋体" w:cs="Times New Roman"/>
          <w:b w:val="0"/>
          <w:kern w:val="2"/>
          <w:sz w:val="28"/>
          <w:szCs w:val="24"/>
          <w:highlight w:val="none"/>
          <w:lang w:val="en-US" w:eastAsia="zh-CN" w:bidi="ar-SA"/>
        </w:rPr>
        <w:t>80</w:t>
      </w:r>
      <w:r>
        <w:rPr>
          <w:rFonts w:hint="eastAsia" w:ascii="宋体" w:hAnsi="宋体" w:eastAsia="宋体" w:cs="宋体"/>
          <w:b w:val="0"/>
          <w:kern w:val="2"/>
          <w:sz w:val="28"/>
          <w:szCs w:val="24"/>
          <w:highlight w:val="none"/>
          <w:lang w:val="en-US" w:eastAsia="zh-CN" w:bidi="ar-SA"/>
        </w:rPr>
        <w:t>万平方米铝合金门窗生产制造项目生产工艺流程里的打胶改为外协，生产工艺改变，但污染物因子和数量均减少，优于环评，不属于重大变更。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宋体" w:hAnsi="宋体" w:eastAsia="宋体" w:cs="宋体"/>
          <w:b w:val="0"/>
          <w:kern w:val="2"/>
          <w:sz w:val="28"/>
          <w:szCs w:val="24"/>
          <w:highlight w:val="none"/>
          <w:lang w:val="en-US" w:eastAsia="zh-CN" w:bidi="ar-SA"/>
        </w:rPr>
      </w:pPr>
      <w:r>
        <w:rPr>
          <w:rFonts w:hint="eastAsia" w:ascii="宋体" w:hAnsi="宋体" w:eastAsia="宋体" w:cs="宋体"/>
          <w:b w:val="0"/>
          <w:kern w:val="2"/>
          <w:sz w:val="28"/>
          <w:szCs w:val="24"/>
          <w:highlight w:val="none"/>
          <w:lang w:val="en-US" w:eastAsia="zh-CN" w:bidi="ar-SA"/>
        </w:rPr>
        <w:t>（3）环保设施变动：因工艺打胶改为外协，</w:t>
      </w:r>
      <w:r>
        <w:rPr>
          <w:rFonts w:hint="eastAsia" w:ascii="Times New Roman" w:hAnsi="Times New Roman" w:eastAsia="宋体" w:cs="Times New Roman"/>
          <w:b w:val="0"/>
          <w:kern w:val="2"/>
          <w:sz w:val="28"/>
          <w:szCs w:val="24"/>
          <w:highlight w:val="none"/>
          <w:lang w:val="en-US" w:eastAsia="zh-CN" w:bidi="ar-SA"/>
        </w:rPr>
        <w:t>UV光氧不需建设。企业实际生产过程中员工在厂内食宿改为不在厂内食宿，因此油烟净化器不需安装，隔油池不需建设。</w:t>
      </w:r>
      <w:r>
        <w:rPr>
          <w:rFonts w:hint="eastAsia" w:ascii="宋体" w:hAnsi="宋体" w:eastAsia="宋体" w:cs="宋体"/>
          <w:b w:val="0"/>
          <w:kern w:val="2"/>
          <w:sz w:val="28"/>
          <w:szCs w:val="24"/>
          <w:highlight w:val="none"/>
          <w:lang w:val="en-US" w:eastAsia="zh-CN" w:bidi="ar-SA"/>
        </w:rPr>
        <w:t>污染物因子和数量均减少，优于环评，不属于重大变更。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default" w:ascii="Times New Roman" w:hAnsi="Times New Roman" w:eastAsia="宋体" w:cs="Times New Roman"/>
          <w:b w:val="0"/>
          <w:kern w:val="2"/>
          <w:sz w:val="28"/>
          <w:szCs w:val="24"/>
          <w:highlight w:val="none"/>
          <w:lang w:val="en-US" w:eastAsia="zh-CN" w:bidi="ar-SA"/>
        </w:rPr>
      </w:pPr>
      <w:r>
        <w:rPr>
          <w:rFonts w:hint="default" w:ascii="Times New Roman" w:hAnsi="Times New Roman" w:eastAsia="宋体" w:cs="Times New Roman"/>
          <w:b w:val="0"/>
          <w:kern w:val="2"/>
          <w:sz w:val="28"/>
          <w:szCs w:val="24"/>
          <w:highlight w:val="none"/>
          <w:lang w:val="en-US" w:eastAsia="zh-CN" w:bidi="ar-SA"/>
        </w:rPr>
        <w:t>（</w:t>
      </w:r>
      <w:r>
        <w:rPr>
          <w:rFonts w:hint="eastAsia" w:ascii="Times New Roman" w:hAnsi="Times New Roman" w:eastAsia="宋体" w:cs="Times New Roman"/>
          <w:b w:val="0"/>
          <w:kern w:val="2"/>
          <w:sz w:val="28"/>
          <w:szCs w:val="24"/>
          <w:highlight w:val="none"/>
          <w:lang w:val="en-US" w:eastAsia="zh-CN" w:bidi="ar-SA"/>
        </w:rPr>
        <w:t>4</w:t>
      </w:r>
      <w:r>
        <w:rPr>
          <w:rFonts w:hint="default" w:ascii="Times New Roman" w:hAnsi="Times New Roman" w:eastAsia="宋体" w:cs="Times New Roman"/>
          <w:b w:val="0"/>
          <w:kern w:val="2"/>
          <w:sz w:val="28"/>
          <w:szCs w:val="24"/>
          <w:highlight w:val="none"/>
          <w:lang w:val="en-US" w:eastAsia="zh-CN" w:bidi="ar-SA"/>
        </w:rPr>
        <w:t>）</w:t>
      </w:r>
      <w:r>
        <w:rPr>
          <w:rFonts w:hint="eastAsia" w:ascii="Times New Roman" w:hAnsi="Times New Roman" w:eastAsia="宋体" w:cs="Times New Roman"/>
          <w:b w:val="0"/>
          <w:kern w:val="2"/>
          <w:sz w:val="28"/>
          <w:szCs w:val="24"/>
          <w:highlight w:val="none"/>
          <w:lang w:val="en-US" w:eastAsia="zh-CN" w:bidi="ar-SA"/>
        </w:rPr>
        <w:t>危废变动：企业实际建设中减少打胶工艺，因此UV光氧不需建设，废紫外灯管、废催化版和废活性炭不产生。企业在实际生产过程中液压油使用量很少，危废只有含油废抹布，没有液态废液压油产生。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Times New Roman" w:hAnsi="Times New Roman" w:eastAsia="宋体" w:cs="Times New Roman"/>
          <w:b w:val="0"/>
          <w:kern w:val="2"/>
          <w:sz w:val="28"/>
          <w:szCs w:val="24"/>
          <w:highlight w:val="none"/>
          <w:lang w:val="en-US" w:eastAsia="zh-CN" w:bidi="ar-SA"/>
        </w:rPr>
      </w:pPr>
      <w:r>
        <w:rPr>
          <w:rFonts w:hint="eastAsia" w:ascii="Times New Roman" w:hAnsi="Times New Roman" w:eastAsia="宋体" w:cs="Times New Roman"/>
          <w:b w:val="0"/>
          <w:kern w:val="2"/>
          <w:sz w:val="28"/>
          <w:szCs w:val="24"/>
          <w:highlight w:val="none"/>
          <w:lang w:val="zh-CN" w:eastAsia="zh-CN" w:bidi="ar-SA"/>
        </w:rPr>
        <w:t>企业通过合理分配环保设备，优化环保措施，使污染物能够实现达标排放。</w:t>
      </w:r>
      <w:r>
        <w:rPr>
          <w:rFonts w:hint="eastAsia" w:ascii="Times New Roman" w:hAnsi="Times New Roman" w:eastAsia="宋体" w:cs="Times New Roman"/>
          <w:b w:val="0"/>
          <w:kern w:val="2"/>
          <w:sz w:val="28"/>
          <w:szCs w:val="24"/>
          <w:highlight w:val="none"/>
          <w:lang w:val="en-US" w:eastAsia="zh-CN" w:bidi="ar-SA"/>
        </w:rPr>
        <w:t>根据监测数据及企业实际采取的措施，污染物均得到合理的处置，无新增污染物产生，因此不属于重大变动。</w:t>
      </w:r>
    </w:p>
    <w:p>
      <w:pPr>
        <w:pStyle w:val="4"/>
        <w:bidi w:val="0"/>
        <w:ind w:firstLine="562" w:firstLineChars="200"/>
        <w:rPr>
          <w:rFonts w:hint="default"/>
          <w:b/>
          <w:bCs/>
          <w:sz w:val="28"/>
          <w:szCs w:val="28"/>
        </w:rPr>
      </w:pPr>
      <w:r>
        <w:rPr>
          <w:rFonts w:hint="default"/>
          <w:b/>
          <w:bCs/>
          <w:sz w:val="28"/>
          <w:szCs w:val="28"/>
          <w:lang w:eastAsia="zh-CN"/>
        </w:rPr>
        <w:t>三</w:t>
      </w:r>
      <w:r>
        <w:rPr>
          <w:rFonts w:hint="default"/>
          <w:b/>
          <w:bCs/>
          <w:sz w:val="28"/>
          <w:szCs w:val="28"/>
        </w:rPr>
        <w:t>、环境保护设施建设情况</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eastAsia" w:ascii="Times New Roman" w:hAnsi="Times New Roman" w:cs="Times New Roman"/>
          <w:b w:val="0"/>
          <w:bCs w:val="0"/>
          <w:color w:val="auto"/>
          <w:sz w:val="28"/>
          <w:szCs w:val="28"/>
          <w:highlight w:val="none"/>
          <w:lang w:val="en-US" w:eastAsia="zh-CN"/>
        </w:rPr>
        <w:t>（1）</w:t>
      </w:r>
      <w:r>
        <w:rPr>
          <w:rFonts w:hint="default" w:ascii="Times New Roman" w:hAnsi="Times New Roman" w:eastAsia="宋体" w:cs="Times New Roman"/>
          <w:b w:val="0"/>
          <w:bCs w:val="0"/>
          <w:color w:val="auto"/>
          <w:sz w:val="28"/>
          <w:szCs w:val="28"/>
          <w:highlight w:val="none"/>
          <w:lang w:val="en-US" w:eastAsia="zh-CN"/>
        </w:rPr>
        <w:t>废水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right="0" w:rightChars="0" w:firstLine="560" w:firstLineChars="200"/>
        <w:jc w:val="both"/>
        <w:textAlignment w:val="auto"/>
        <w:outlineLvl w:val="9"/>
        <w:rPr>
          <w:rFonts w:hint="eastAsia" w:ascii="Times New Roman" w:hAnsi="Times New Roman" w:eastAsia="宋体" w:cs="Times New Roman"/>
          <w:b w:val="0"/>
          <w:kern w:val="2"/>
          <w:sz w:val="28"/>
          <w:szCs w:val="24"/>
          <w:highlight w:val="none"/>
          <w:lang w:val="en-US" w:eastAsia="zh-CN" w:bidi="ar-SA"/>
        </w:rPr>
      </w:pPr>
      <w:r>
        <w:rPr>
          <w:rFonts w:hint="eastAsia" w:ascii="Times New Roman" w:hAnsi="Times New Roman" w:eastAsia="宋体" w:cs="Times New Roman"/>
          <w:b w:val="0"/>
          <w:kern w:val="2"/>
          <w:sz w:val="28"/>
          <w:szCs w:val="24"/>
          <w:highlight w:val="none"/>
          <w:lang w:val="en-US" w:eastAsia="zh-CN" w:bidi="ar-SA"/>
        </w:rPr>
        <w:t>年产80万平方米铝合金门窗生产制造项目产生的废水主要为员工生活污水、无生产废水，生活污水经化粪池处理后通过污水管网排入卫辉中州水务有限公司东关污水处理厂进一步处理达标后排入东孟姜女河，属于间接排放。</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1、废水污染物产排情况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项目员工共计180人，其中80人在厂区内食宿，每天生产8小时，年工作300天，不在厂区食宿的员工，生活用水量按30L/人·d计算，在厂区食宿的员工，生活用水量按50L/人·d计算，则用水量为7t/d，污水排放系数以0.8计，则生活污水排放量为5.6t/d，即1680t/a，类比废水水质：COD350mg/L、SS300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-N25mg/L、TP3mg/L、TN30mg/L，经化粪池处理后的水质为COD250mg/L、SS180mg/L、NH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-N25mg/L、TP3mg/L、TN30mg/L。</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2、污水处理厂依托可行性分析</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rPr>
        <w:t>位于卫辉市东部，东环路以东，东关村以北，收水范围为卫辉市城区生活水，采用CASS处理工艺，设计处理规模为5万m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/d，目前实际处理规模4万m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/d，剩余处理规模1万m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/d，本项目废水排放量为5.6m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/d，远小于1万m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/d。本项目位于新乡市卫辉市后河镇工业园区，在</w:t>
      </w: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rPr>
        <w:t>的收水范围内，项目生活污水经化粪池处理后水质为COD250mg/L、SS180mg/L、NH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-N25mg/L、TP3mg/L、TN30mg/L，能够满足</w:t>
      </w: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rPr>
        <w:t>的收水标准COD≤355mg/L、NH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-N≤35mg/L、SS≤230mg/L、TP≤3.5mg/L。</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lang w:val="en-US" w:eastAsia="zh-CN"/>
        </w:rPr>
      </w:pPr>
      <w:r>
        <w:rPr>
          <w:rFonts w:hint="eastAsia" w:ascii="Times New Roman" w:hAnsi="Times New Roman" w:eastAsia="宋体" w:cs="Times New Roman"/>
          <w:b w:val="0"/>
          <w:bCs w:val="0"/>
          <w:color w:val="auto"/>
          <w:kern w:val="2"/>
          <w:sz w:val="28"/>
          <w:szCs w:val="28"/>
          <w:highlight w:val="none"/>
          <w:lang w:val="en-US" w:eastAsia="zh-CN"/>
        </w:rPr>
        <w:t>扩建年产40万平方米铝合金门窗生产制造</w:t>
      </w:r>
      <w:r>
        <w:rPr>
          <w:rFonts w:hint="default" w:ascii="Times New Roman" w:hAnsi="Times New Roman" w:eastAsia="宋体" w:cs="Times New Roman"/>
          <w:b w:val="0"/>
          <w:bCs w:val="0"/>
          <w:color w:val="auto"/>
          <w:kern w:val="2"/>
          <w:sz w:val="28"/>
          <w:szCs w:val="28"/>
          <w:highlight w:val="none"/>
          <w:lang w:val="en-US" w:eastAsia="zh-CN"/>
        </w:rPr>
        <w:t>项</w:t>
      </w:r>
      <w:r>
        <w:rPr>
          <w:rFonts w:hint="eastAsia" w:ascii="Times New Roman" w:hAnsi="Times New Roman" w:eastAsia="宋体" w:cs="Times New Roman"/>
          <w:b w:val="0"/>
          <w:bCs w:val="0"/>
          <w:color w:val="auto"/>
          <w:kern w:val="2"/>
          <w:sz w:val="28"/>
          <w:szCs w:val="28"/>
          <w:highlight w:val="none"/>
          <w:lang w:val="en-US" w:eastAsia="zh-CN"/>
        </w:rPr>
        <w:t>目无生产废水产生；废水主要为生活污水，本项目利用原有劳动定员不新增生活污水。</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eastAsia" w:ascii="Times New Roman" w:hAnsi="Times New Roman" w:cs="Times New Roman"/>
          <w:b w:val="0"/>
          <w:bCs w:val="0"/>
          <w:color w:val="auto"/>
          <w:sz w:val="28"/>
          <w:szCs w:val="28"/>
          <w:highlight w:val="none"/>
          <w:lang w:val="en-US" w:eastAsia="zh-CN"/>
        </w:rPr>
        <w:t>（2）</w:t>
      </w:r>
      <w:r>
        <w:rPr>
          <w:rFonts w:hint="default" w:ascii="Times New Roman" w:hAnsi="Times New Roman" w:eastAsia="宋体" w:cs="Times New Roman"/>
          <w:b w:val="0"/>
          <w:bCs w:val="0"/>
          <w:color w:val="auto"/>
          <w:sz w:val="28"/>
          <w:szCs w:val="28"/>
          <w:highlight w:val="none"/>
          <w:lang w:val="en-US" w:eastAsia="zh-CN"/>
        </w:rPr>
        <w:t>废气</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default" w:ascii="Times New Roman" w:hAnsi="Times New Roman" w:eastAsia="宋体" w:cs="Times New Roman"/>
          <w:color w:val="auto"/>
          <w:sz w:val="28"/>
          <w:szCs w:val="28"/>
          <w:highlight w:val="none"/>
        </w:rPr>
        <w:t>本项目生产工艺及原材料不涉及废气产生</w:t>
      </w:r>
      <w:r>
        <w:rPr>
          <w:rFonts w:hint="eastAsia" w:ascii="Times New Roman" w:hAnsi="Times New Roman" w:eastAsia="宋体" w:cs="Times New Roman"/>
          <w:color w:val="auto"/>
          <w:sz w:val="28"/>
          <w:szCs w:val="28"/>
          <w:highlight w:val="none"/>
          <w:lang w:eastAsia="zh-CN"/>
        </w:rPr>
        <w:t>。</w:t>
      </w:r>
      <w:r>
        <w:rPr>
          <w:rFonts w:hint="eastAsia" w:ascii="Times New Roman" w:hAnsi="Times New Roman" w:eastAsia="宋体" w:cs="Times New Roman"/>
          <w:color w:val="FF0000"/>
          <w:sz w:val="28"/>
          <w:szCs w:val="28"/>
          <w:highlight w:val="none"/>
          <w:lang w:val="en-US" w:eastAsia="zh-CN"/>
        </w:rPr>
        <w:t xml:space="preserve"> </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eastAsia" w:ascii="Times New Roman" w:hAnsi="Times New Roman" w:cs="Times New Roman"/>
          <w:b w:val="0"/>
          <w:bCs w:val="0"/>
          <w:color w:val="auto"/>
          <w:sz w:val="28"/>
          <w:szCs w:val="28"/>
          <w:highlight w:val="none"/>
          <w:lang w:val="en-US" w:eastAsia="zh-CN"/>
        </w:rPr>
        <w:t>（3）</w:t>
      </w:r>
      <w:r>
        <w:rPr>
          <w:rFonts w:hint="default" w:ascii="Times New Roman" w:hAnsi="Times New Roman" w:eastAsia="宋体" w:cs="Times New Roman"/>
          <w:b w:val="0"/>
          <w:bCs w:val="0"/>
          <w:color w:val="auto"/>
          <w:sz w:val="28"/>
          <w:szCs w:val="28"/>
          <w:highlight w:val="none"/>
          <w:lang w:val="en-US" w:eastAsia="zh-CN"/>
        </w:rPr>
        <w:t>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rPr>
      </w:pPr>
      <w:r>
        <w:rPr>
          <w:rFonts w:hint="default" w:ascii="Times New Roman" w:hAnsi="Times New Roman" w:eastAsia="宋体" w:cs="Times New Roman"/>
          <w:color w:val="auto"/>
          <w:sz w:val="28"/>
          <w:szCs w:val="28"/>
          <w:highlight w:val="none"/>
        </w:rPr>
        <w:t>该项目生产过程中产生的噪声主要</w:t>
      </w:r>
      <w:r>
        <w:rPr>
          <w:rFonts w:hint="eastAsia" w:ascii="Times New Roman" w:hAnsi="Times New Roman" w:eastAsia="宋体" w:cs="Times New Roman"/>
          <w:color w:val="auto"/>
          <w:sz w:val="28"/>
          <w:szCs w:val="28"/>
          <w:highlight w:val="none"/>
          <w:lang w:eastAsia="zh-CN"/>
        </w:rPr>
        <w:t>机械设备运行噪声</w:t>
      </w:r>
      <w:r>
        <w:rPr>
          <w:rFonts w:hint="default" w:ascii="Times New Roman" w:hAnsi="Times New Roman" w:eastAsia="宋体" w:cs="Times New Roman"/>
          <w:color w:val="auto"/>
          <w:sz w:val="28"/>
          <w:szCs w:val="28"/>
          <w:highlight w:val="none"/>
          <w:lang w:eastAsia="zh-CN"/>
        </w:rPr>
        <w:t>，工程噪声源强在</w:t>
      </w:r>
      <w:r>
        <w:rPr>
          <w:rFonts w:hint="default" w:ascii="Times New Roman" w:hAnsi="Times New Roman" w:eastAsia="宋体" w:cs="Times New Roman"/>
          <w:color w:val="auto"/>
          <w:sz w:val="28"/>
          <w:szCs w:val="28"/>
          <w:highlight w:val="none"/>
          <w:lang w:val="en-US" w:eastAsia="zh-CN"/>
        </w:rPr>
        <w:t>70~85dB（A）</w:t>
      </w:r>
      <w:r>
        <w:rPr>
          <w:rFonts w:hint="default" w:ascii="Times New Roman" w:hAnsi="Times New Roman" w:eastAsia="宋体" w:cs="Times New Roman"/>
          <w:color w:val="auto"/>
          <w:sz w:val="28"/>
          <w:szCs w:val="28"/>
          <w:highlight w:val="none"/>
        </w:rPr>
        <w:t>。</w:t>
      </w:r>
      <w:r>
        <w:rPr>
          <w:rFonts w:hint="default" w:ascii="Times New Roman" w:hAnsi="Times New Roman" w:eastAsia="宋体" w:cs="Times New Roman"/>
          <w:color w:val="auto"/>
          <w:sz w:val="28"/>
          <w:szCs w:val="28"/>
          <w:highlight w:val="none"/>
          <w:lang w:eastAsia="zh-CN"/>
        </w:rPr>
        <w:t>项目选用低噪声设备，采用加大减震基础，安装减震装置。合理安排作业时间，合理布局，采用封闭式生产车间，使用隔声墙体，厂内设置绿化带隔声。</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0" w:firstLineChars="200"/>
        <w:textAlignment w:val="auto"/>
        <w:outlineLvl w:val="0"/>
        <w:rPr>
          <w:rFonts w:hint="default" w:ascii="Times New Roman" w:hAnsi="Times New Roman" w:eastAsia="宋体" w:cs="Times New Roman"/>
          <w:b w:val="0"/>
          <w:bCs w:val="0"/>
          <w:color w:val="auto"/>
          <w:sz w:val="28"/>
          <w:szCs w:val="28"/>
          <w:highlight w:val="none"/>
          <w:lang w:val="en-US" w:eastAsia="zh-CN"/>
        </w:rPr>
      </w:pPr>
      <w:r>
        <w:rPr>
          <w:rFonts w:hint="eastAsia" w:ascii="Times New Roman" w:hAnsi="Times New Roman" w:cs="Times New Roman"/>
          <w:b w:val="0"/>
          <w:bCs w:val="0"/>
          <w:color w:val="auto"/>
          <w:sz w:val="28"/>
          <w:szCs w:val="28"/>
          <w:highlight w:val="none"/>
          <w:lang w:val="en-US" w:eastAsia="zh-CN"/>
        </w:rPr>
        <w:t>（4）</w:t>
      </w:r>
      <w:r>
        <w:rPr>
          <w:rFonts w:hint="default" w:ascii="Times New Roman" w:hAnsi="Times New Roman" w:eastAsia="宋体" w:cs="Times New Roman"/>
          <w:b w:val="0"/>
          <w:bCs w:val="0"/>
          <w:color w:val="auto"/>
          <w:sz w:val="28"/>
          <w:szCs w:val="28"/>
          <w:highlight w:val="none"/>
          <w:lang w:val="en-US" w:eastAsia="zh-CN"/>
        </w:rPr>
        <w:t>固体废物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sz w:val="28"/>
          <w:szCs w:val="28"/>
          <w:highlight w:val="none"/>
          <w:lang w:val="en-US" w:eastAsia="zh-CN"/>
        </w:rPr>
        <w:t>年产80万平方米铝合金门窗生产制造项目</w:t>
      </w:r>
      <w:r>
        <w:rPr>
          <w:rFonts w:hint="eastAsia" w:ascii="Times New Roman" w:hAnsi="Times New Roman" w:eastAsia="宋体" w:cs="Times New Roman"/>
          <w:color w:val="auto"/>
          <w:sz w:val="28"/>
          <w:szCs w:val="28"/>
          <w:highlight w:val="none"/>
          <w:lang w:eastAsia="zh-CN"/>
        </w:rPr>
        <w:t>固废主要为</w:t>
      </w:r>
      <w:r>
        <w:rPr>
          <w:rFonts w:hint="default" w:ascii="Times New Roman" w:hAnsi="Times New Roman" w:eastAsia="宋体" w:cs="Times New Roman"/>
          <w:color w:val="auto"/>
          <w:sz w:val="28"/>
          <w:szCs w:val="28"/>
          <w:highlight w:val="none"/>
          <w:lang w:eastAsia="zh-CN"/>
        </w:rPr>
        <w:t>开料、</w:t>
      </w:r>
      <w:r>
        <w:rPr>
          <w:rFonts w:hint="eastAsia" w:ascii="Times New Roman" w:hAnsi="Times New Roman" w:eastAsia="宋体" w:cs="Times New Roman"/>
          <w:color w:val="auto"/>
          <w:sz w:val="28"/>
          <w:szCs w:val="28"/>
          <w:highlight w:val="none"/>
          <w:lang w:eastAsia="zh-CN"/>
        </w:rPr>
        <w:t>开角码、冲孔、锣榫、铣锁孔工艺产生的边角料和金属屑、包装过程产生的废包装物和生产过程中的含油废抹布。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扩建年产40万平方米铝合金门窗生产制造</w:t>
      </w:r>
      <w:r>
        <w:rPr>
          <w:rFonts w:hint="default" w:ascii="Times New Roman" w:hAnsi="Times New Roman" w:eastAsia="宋体" w:cs="Times New Roman"/>
          <w:sz w:val="28"/>
          <w:szCs w:val="28"/>
          <w:highlight w:val="none"/>
        </w:rPr>
        <w:t>项</w:t>
      </w:r>
      <w:r>
        <w:rPr>
          <w:rFonts w:hint="eastAsia" w:ascii="Times New Roman" w:hAnsi="Times New Roman" w:eastAsia="宋体" w:cs="Times New Roman"/>
          <w:sz w:val="28"/>
          <w:szCs w:val="24"/>
          <w:highlight w:val="none"/>
          <w:lang w:val="en-US" w:eastAsia="zh-CN"/>
        </w:rPr>
        <w:t>目</w:t>
      </w:r>
      <w:r>
        <w:rPr>
          <w:rFonts w:hint="eastAsia" w:ascii="Times New Roman" w:hAnsi="Times New Roman" w:eastAsia="宋体" w:cs="Times New Roman"/>
          <w:sz w:val="28"/>
          <w:szCs w:val="28"/>
          <w:highlight w:val="none"/>
          <w:lang w:val="en-US" w:eastAsia="zh-CN"/>
        </w:rPr>
        <w:t>固体废物包括一般固体废物和危险废物。一般固体废物包括开料、开角码、冲孔、锣榫、铣锁孔工艺产生的边角料和金属屑、包装过程产生的废包装物；危险废物主要包括设备维护过程和冲孔过程中产生的含油废抹布。产生的废弃物均在厂区暂存。本项目不涉及新增劳动定员不涉及生活垃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color w:val="auto"/>
          <w:sz w:val="28"/>
          <w:szCs w:val="28"/>
          <w:highlight w:val="none"/>
          <w:lang w:eastAsia="zh-CN"/>
        </w:rPr>
      </w:pPr>
      <w:r>
        <w:rPr>
          <w:rFonts w:hint="eastAsia" w:ascii="Times New Roman" w:hAnsi="Times New Roman" w:eastAsia="宋体" w:cs="Times New Roman"/>
          <w:sz w:val="28"/>
          <w:szCs w:val="28"/>
          <w:highlight w:val="none"/>
          <w:lang w:val="en-US" w:eastAsia="zh-CN"/>
        </w:rPr>
        <w:t>边角料、金属屑和包装过程产生的废包装物</w:t>
      </w:r>
      <w:r>
        <w:rPr>
          <w:rFonts w:hint="default" w:ascii="Times New Roman" w:hAnsi="Times New Roman" w:eastAsia="宋体" w:cs="Times New Roman"/>
          <w:sz w:val="28"/>
          <w:szCs w:val="28"/>
          <w:highlight w:val="none"/>
          <w:lang w:val="en-US" w:eastAsia="zh-CN"/>
        </w:rPr>
        <w:t>收集后外售；含油废抹布危废间暂存后，混入生活垃圾中，运至垃圾中转站集中处理。</w:t>
      </w:r>
    </w:p>
    <w:p>
      <w:pPr>
        <w:pStyle w:val="2"/>
        <w:keepNext w:val="0"/>
        <w:keepLines w:val="0"/>
        <w:pageBreakBefore w:val="0"/>
        <w:widowControl w:val="0"/>
        <w:kinsoku/>
        <w:wordWrap/>
        <w:overflowPunct/>
        <w:topLinePunct w:val="0"/>
        <w:autoSpaceDE/>
        <w:autoSpaceDN/>
        <w:bidi w:val="0"/>
        <w:adjustRightInd w:val="0"/>
        <w:snapToGrid w:val="0"/>
        <w:spacing w:line="360" w:lineRule="auto"/>
        <w:ind w:firstLine="562" w:firstLineChars="200"/>
        <w:textAlignment w:val="auto"/>
        <w:outlineLvl w:val="0"/>
        <w:rPr>
          <w:rFonts w:hint="default" w:ascii="Times New Roman" w:hAnsi="Times New Roman" w:eastAsia="宋体" w:cs="Times New Roman"/>
          <w:b/>
          <w:bCs/>
          <w:color w:val="auto"/>
          <w:sz w:val="28"/>
          <w:szCs w:val="28"/>
          <w:highlight w:val="none"/>
          <w:lang w:val="en-US" w:eastAsia="zh-CN"/>
        </w:rPr>
      </w:pPr>
      <w:r>
        <w:rPr>
          <w:rFonts w:hint="default" w:ascii="Times New Roman" w:hAnsi="Times New Roman" w:eastAsia="宋体" w:cs="Times New Roman"/>
          <w:b/>
          <w:bCs/>
          <w:color w:val="auto"/>
          <w:sz w:val="28"/>
          <w:szCs w:val="28"/>
          <w:highlight w:val="none"/>
          <w:lang w:val="en-US" w:eastAsia="zh-CN"/>
        </w:rPr>
        <w:t>四、</w:t>
      </w:r>
      <w:r>
        <w:rPr>
          <w:rFonts w:hint="eastAsia" w:ascii="Times New Roman" w:hAnsi="Times New Roman" w:eastAsia="宋体" w:cs="Times New Roman"/>
          <w:b/>
          <w:bCs/>
          <w:color w:val="auto"/>
          <w:sz w:val="28"/>
          <w:szCs w:val="28"/>
          <w:highlight w:val="none"/>
          <w:lang w:val="en-US" w:eastAsia="zh-CN"/>
        </w:rPr>
        <w:t>环境保护</w:t>
      </w:r>
      <w:r>
        <w:rPr>
          <w:rFonts w:hint="default" w:ascii="Times New Roman" w:hAnsi="Times New Roman" w:eastAsia="宋体" w:cs="Times New Roman"/>
          <w:b/>
          <w:bCs/>
          <w:color w:val="auto"/>
          <w:sz w:val="28"/>
          <w:szCs w:val="28"/>
          <w:highlight w:val="none"/>
          <w:lang w:val="en-US" w:eastAsia="zh-CN"/>
        </w:rPr>
        <w:t>设施</w:t>
      </w:r>
      <w:r>
        <w:rPr>
          <w:rFonts w:hint="eastAsia" w:ascii="Times New Roman" w:hAnsi="Times New Roman" w:eastAsia="宋体" w:cs="Times New Roman"/>
          <w:b/>
          <w:bCs/>
          <w:color w:val="auto"/>
          <w:sz w:val="28"/>
          <w:szCs w:val="28"/>
          <w:highlight w:val="none"/>
          <w:lang w:val="en-US" w:eastAsia="zh-CN"/>
        </w:rPr>
        <w:t>调试效果</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（一）污染物达标排放情况</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（1）废气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sz w:val="28"/>
          <w:szCs w:val="28"/>
          <w:highlight w:val="none"/>
          <w:lang w:val="en-US" w:eastAsia="zh-CN"/>
        </w:rPr>
      </w:pPr>
      <w:bookmarkStart w:id="3" w:name="_Hlk496998889"/>
      <w:r>
        <w:rPr>
          <w:rFonts w:hint="eastAsia" w:ascii="Times New Roman" w:hAnsi="Times New Roman" w:eastAsia="宋体" w:cs="Times New Roman"/>
          <w:sz w:val="28"/>
          <w:szCs w:val="28"/>
          <w:highlight w:val="none"/>
          <w:lang w:val="en-US" w:eastAsia="zh-CN"/>
        </w:rPr>
        <w:t>本项目不涉及废气。</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（2）</w:t>
      </w:r>
      <w:r>
        <w:rPr>
          <w:rFonts w:hint="default" w:ascii="Times New Roman" w:hAnsi="Times New Roman" w:eastAsia="宋体" w:cs="Times New Roman"/>
          <w:sz w:val="28"/>
          <w:szCs w:val="28"/>
          <w:highlight w:val="none"/>
          <w:lang w:val="en-US" w:eastAsia="zh-CN"/>
        </w:rPr>
        <w:t>废水</w:t>
      </w:r>
    </w:p>
    <w:bookmarkEnd w:id="3"/>
    <w:p>
      <w:pPr>
        <w:ind w:firstLine="560" w:firstLineChars="200"/>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sz w:val="28"/>
          <w:szCs w:val="28"/>
          <w:highlight w:val="none"/>
          <w:lang w:val="en-US" w:eastAsia="zh-CN"/>
        </w:rPr>
        <w:t>年产80万平方米铝合金门窗生产制造项目</w:t>
      </w:r>
      <w:r>
        <w:rPr>
          <w:rFonts w:hint="eastAsia" w:ascii="Times New Roman" w:hAnsi="Times New Roman" w:eastAsia="宋体" w:cs="Times New Roman"/>
          <w:b w:val="0"/>
          <w:bCs w:val="0"/>
          <w:color w:val="auto"/>
          <w:kern w:val="2"/>
          <w:sz w:val="28"/>
          <w:szCs w:val="28"/>
          <w:highlight w:val="none"/>
        </w:rPr>
        <w:t>产生的废水主要为员工生活污水、无生产废水，生活污水经化粪池处理后通过污水管网排入</w:t>
      </w: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rPr>
        <w:t>进一步处理达标后排入东孟姜女河，属于间接排放。</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1、废水污染物产排情况</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项目员工共计180人，其中80人在厂区内食宿，每天生产8小时，年工作300天，不在厂区食宿的员工，生活用水量按30L/人·d计算，在厂区食宿的员工，生活用水量按50L/人·d计算，则用水量为7t/d，污水排放系数以0.8计，则生活污水排放量为5.6t/d，即1680t/a，类比废水水质：COD350mg/L、SS300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-N25mg/L、TP3mg/L、TN30mg/L，经化粪池处理后的水质为COD250mg/L、SS180mg/L、NH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-N25mg/L、TP3mg/L、TN30mg/L。</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rPr>
        <w:t>2、污水处理厂依托可行性分析</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rPr>
      </w:pP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rPr>
        <w:t>位于卫辉市东部，东环路以东，东关村以北，收水范围为卫辉市城区生活水，采用CASS处理工艺，设计处理规模为5万m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/d，目前实际处理规模4万m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/d，剩余处理规模1万m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/d，本项目废水排放量为5.6m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/d，远小于1万m</w:t>
      </w:r>
      <w:r>
        <w:rPr>
          <w:rFonts w:hint="eastAsia" w:ascii="Times New Roman" w:hAnsi="Times New Roman" w:eastAsia="宋体" w:cs="Times New Roman"/>
          <w:b w:val="0"/>
          <w:bCs w:val="0"/>
          <w:color w:val="auto"/>
          <w:kern w:val="2"/>
          <w:sz w:val="28"/>
          <w:szCs w:val="28"/>
          <w:highlight w:val="none"/>
          <w:vertAlign w:val="superscript"/>
        </w:rPr>
        <w:t>3</w:t>
      </w:r>
      <w:r>
        <w:rPr>
          <w:rFonts w:hint="eastAsia" w:ascii="Times New Roman" w:hAnsi="Times New Roman" w:eastAsia="宋体" w:cs="Times New Roman"/>
          <w:b w:val="0"/>
          <w:bCs w:val="0"/>
          <w:color w:val="auto"/>
          <w:kern w:val="2"/>
          <w:sz w:val="28"/>
          <w:szCs w:val="28"/>
          <w:highlight w:val="none"/>
        </w:rPr>
        <w:t>/d。本项目位于新乡市卫辉市后河镇工业园区，在</w:t>
      </w: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rPr>
        <w:t>的收水范围内，项目生活污水经化粪池处理后水质为COD250mg/L、SS180mg/L、NH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-N25mg/L、TP3mg/L、TN30mg/L，能够满足</w:t>
      </w:r>
      <w:r>
        <w:rPr>
          <w:rFonts w:hint="eastAsia" w:ascii="Times New Roman" w:hAnsi="Times New Roman" w:eastAsia="宋体" w:cs="Times New Roman"/>
          <w:b w:val="0"/>
          <w:bCs w:val="0"/>
          <w:color w:val="auto"/>
          <w:kern w:val="2"/>
          <w:sz w:val="28"/>
          <w:szCs w:val="28"/>
          <w:highlight w:val="none"/>
          <w:lang w:val="en-US" w:eastAsia="zh-CN"/>
        </w:rPr>
        <w:t>卫辉中州水务有限公司东关污水处理厂</w:t>
      </w:r>
      <w:r>
        <w:rPr>
          <w:rFonts w:hint="eastAsia" w:ascii="Times New Roman" w:hAnsi="Times New Roman" w:eastAsia="宋体" w:cs="Times New Roman"/>
          <w:b w:val="0"/>
          <w:bCs w:val="0"/>
          <w:color w:val="auto"/>
          <w:kern w:val="2"/>
          <w:sz w:val="28"/>
          <w:szCs w:val="28"/>
          <w:highlight w:val="none"/>
        </w:rPr>
        <w:t>的收水标准COD≤355mg/L、NH</w:t>
      </w:r>
      <w:r>
        <w:rPr>
          <w:rFonts w:hint="eastAsia" w:ascii="Times New Roman" w:hAnsi="Times New Roman" w:eastAsia="宋体" w:cs="Times New Roman"/>
          <w:b w:val="0"/>
          <w:bCs w:val="0"/>
          <w:color w:val="auto"/>
          <w:kern w:val="2"/>
          <w:sz w:val="28"/>
          <w:szCs w:val="28"/>
          <w:highlight w:val="none"/>
          <w:vertAlign w:val="subscript"/>
        </w:rPr>
        <w:t>3</w:t>
      </w:r>
      <w:r>
        <w:rPr>
          <w:rFonts w:hint="eastAsia" w:ascii="Times New Roman" w:hAnsi="Times New Roman" w:eastAsia="宋体" w:cs="Times New Roman"/>
          <w:b w:val="0"/>
          <w:bCs w:val="0"/>
          <w:color w:val="auto"/>
          <w:kern w:val="2"/>
          <w:sz w:val="28"/>
          <w:szCs w:val="28"/>
          <w:highlight w:val="none"/>
        </w:rPr>
        <w:t>-N≤35mg/L、SS≤230mg/L、TP≤3.5mg/L。</w:t>
      </w:r>
    </w:p>
    <w:p>
      <w:pPr>
        <w:pStyle w:val="4"/>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eastAsia" w:ascii="Times New Roman" w:hAnsi="Times New Roman" w:eastAsia="宋体" w:cs="Times New Roman"/>
          <w:b w:val="0"/>
          <w:bCs w:val="0"/>
          <w:color w:val="auto"/>
          <w:kern w:val="2"/>
          <w:sz w:val="28"/>
          <w:szCs w:val="28"/>
          <w:highlight w:val="none"/>
          <w:lang w:val="en-US" w:eastAsia="zh-CN"/>
        </w:rPr>
      </w:pPr>
      <w:r>
        <w:rPr>
          <w:rFonts w:hint="eastAsia" w:ascii="Times New Roman" w:hAnsi="Times New Roman" w:eastAsia="宋体" w:cs="Times New Roman"/>
          <w:b w:val="0"/>
          <w:bCs w:val="0"/>
          <w:color w:val="auto"/>
          <w:kern w:val="2"/>
          <w:sz w:val="28"/>
          <w:szCs w:val="28"/>
          <w:highlight w:val="none"/>
          <w:lang w:val="en-US" w:eastAsia="zh-CN"/>
        </w:rPr>
        <w:t>扩建年产40万平方米铝合金门窗生产制造</w:t>
      </w:r>
      <w:r>
        <w:rPr>
          <w:rFonts w:hint="default" w:ascii="Times New Roman" w:hAnsi="Times New Roman" w:eastAsia="宋体" w:cs="Times New Roman"/>
          <w:b w:val="0"/>
          <w:bCs w:val="0"/>
          <w:color w:val="auto"/>
          <w:kern w:val="2"/>
          <w:sz w:val="28"/>
          <w:szCs w:val="28"/>
          <w:highlight w:val="none"/>
          <w:lang w:val="en-US" w:eastAsia="zh-CN"/>
        </w:rPr>
        <w:t>项</w:t>
      </w:r>
      <w:r>
        <w:rPr>
          <w:rFonts w:hint="eastAsia" w:ascii="Times New Roman" w:hAnsi="Times New Roman" w:eastAsia="宋体" w:cs="Times New Roman"/>
          <w:b w:val="0"/>
          <w:bCs w:val="0"/>
          <w:color w:val="auto"/>
          <w:kern w:val="2"/>
          <w:sz w:val="28"/>
          <w:szCs w:val="28"/>
          <w:highlight w:val="none"/>
          <w:lang w:val="en-US" w:eastAsia="zh-CN"/>
        </w:rPr>
        <w:t>目无生产废水产生；废水主要为生活污水，本项目利用原有劳动定员不新增生活污水。</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（3）噪声</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企业</w:t>
      </w:r>
      <w:r>
        <w:rPr>
          <w:rFonts w:hint="eastAsia" w:ascii="Times New Roman" w:hAnsi="Times New Roman" w:eastAsia="宋体" w:cs="Times New Roman"/>
          <w:sz w:val="28"/>
          <w:szCs w:val="28"/>
          <w:highlight w:val="none"/>
          <w:lang w:val="en-US" w:eastAsia="zh-CN"/>
        </w:rPr>
        <w:t>南</w:t>
      </w:r>
      <w:r>
        <w:rPr>
          <w:rFonts w:hint="default" w:ascii="Times New Roman" w:hAnsi="Times New Roman" w:eastAsia="宋体" w:cs="Times New Roman"/>
          <w:sz w:val="28"/>
          <w:szCs w:val="28"/>
          <w:highlight w:val="none"/>
          <w:lang w:val="en-US" w:eastAsia="zh-CN"/>
        </w:rPr>
        <w:t>厂界昼间噪声值范围为5</w:t>
      </w:r>
      <w:r>
        <w:rPr>
          <w:rFonts w:hint="eastAsia" w:ascii="Times New Roman" w:hAnsi="Times New Roman" w:eastAsia="宋体" w:cs="Times New Roman"/>
          <w:sz w:val="28"/>
          <w:szCs w:val="28"/>
          <w:highlight w:val="none"/>
          <w:lang w:val="en-US" w:eastAsia="zh-CN"/>
        </w:rPr>
        <w:t>1</w:t>
      </w:r>
      <w:r>
        <w:rPr>
          <w:rFonts w:hint="default" w:ascii="Times New Roman" w:hAnsi="Times New Roman" w:eastAsia="宋体" w:cs="Times New Roman"/>
          <w:sz w:val="28"/>
          <w:szCs w:val="28"/>
          <w:highlight w:val="none"/>
          <w:lang w:val="en-US" w:eastAsia="zh-CN"/>
        </w:rPr>
        <w:t>～</w:t>
      </w:r>
      <w:r>
        <w:rPr>
          <w:rFonts w:hint="eastAsia" w:ascii="Times New Roman" w:hAnsi="Times New Roman" w:eastAsia="宋体" w:cs="Times New Roman"/>
          <w:sz w:val="28"/>
          <w:szCs w:val="28"/>
          <w:highlight w:val="none"/>
          <w:lang w:val="en-US" w:eastAsia="zh-CN"/>
        </w:rPr>
        <w:t>60</w:t>
      </w:r>
      <w:r>
        <w:rPr>
          <w:rFonts w:hint="default" w:ascii="Times New Roman" w:hAnsi="Times New Roman" w:eastAsia="宋体" w:cs="Times New Roman"/>
          <w:sz w:val="28"/>
          <w:szCs w:val="28"/>
          <w:highlight w:val="none"/>
          <w:lang w:val="en-US" w:eastAsia="zh-CN"/>
        </w:rPr>
        <w:t>dB(A)，夜间噪声值范围为4</w:t>
      </w:r>
      <w:r>
        <w:rPr>
          <w:rFonts w:hint="eastAsia" w:ascii="Times New Roman" w:hAnsi="Times New Roman" w:eastAsia="宋体" w:cs="Times New Roman"/>
          <w:sz w:val="28"/>
          <w:szCs w:val="28"/>
          <w:highlight w:val="none"/>
          <w:lang w:val="en-US" w:eastAsia="zh-CN"/>
        </w:rPr>
        <w:t>0</w:t>
      </w:r>
      <w:r>
        <w:rPr>
          <w:rFonts w:hint="default" w:ascii="Times New Roman" w:hAnsi="Times New Roman" w:eastAsia="宋体" w:cs="Times New Roman"/>
          <w:sz w:val="28"/>
          <w:szCs w:val="28"/>
          <w:highlight w:val="none"/>
          <w:lang w:val="en-US" w:eastAsia="zh-CN"/>
        </w:rPr>
        <w:t>～4</w:t>
      </w:r>
      <w:r>
        <w:rPr>
          <w:rFonts w:hint="eastAsia" w:ascii="Times New Roman" w:hAnsi="Times New Roman" w:eastAsia="宋体" w:cs="Times New Roman"/>
          <w:sz w:val="28"/>
          <w:szCs w:val="28"/>
          <w:highlight w:val="none"/>
          <w:lang w:val="en-US" w:eastAsia="zh-CN"/>
        </w:rPr>
        <w:t>6</w:t>
      </w:r>
      <w:r>
        <w:rPr>
          <w:rFonts w:hint="default" w:ascii="Times New Roman" w:hAnsi="Times New Roman" w:eastAsia="宋体" w:cs="Times New Roman"/>
          <w:sz w:val="28"/>
          <w:szCs w:val="28"/>
          <w:highlight w:val="none"/>
          <w:lang w:val="en-US" w:eastAsia="zh-CN"/>
        </w:rPr>
        <w:t>dB(A)</w:t>
      </w:r>
      <w:r>
        <w:rPr>
          <w:rFonts w:hint="eastAsia"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CN"/>
        </w:rPr>
        <w:t>企业</w:t>
      </w:r>
      <w:r>
        <w:rPr>
          <w:rFonts w:hint="eastAsia" w:ascii="Times New Roman" w:hAnsi="Times New Roman" w:eastAsia="宋体" w:cs="Times New Roman"/>
          <w:sz w:val="28"/>
          <w:szCs w:val="28"/>
          <w:highlight w:val="none"/>
          <w:lang w:val="en-US" w:eastAsia="zh-CN"/>
        </w:rPr>
        <w:t>北</w:t>
      </w:r>
      <w:r>
        <w:rPr>
          <w:rFonts w:hint="default" w:ascii="Times New Roman" w:hAnsi="Times New Roman" w:eastAsia="宋体" w:cs="Times New Roman"/>
          <w:sz w:val="28"/>
          <w:szCs w:val="28"/>
          <w:highlight w:val="none"/>
          <w:lang w:val="en-US" w:eastAsia="zh-CN"/>
        </w:rPr>
        <w:t>厂界昼间噪声值范围为5</w:t>
      </w:r>
      <w:r>
        <w:rPr>
          <w:rFonts w:hint="eastAsia" w:ascii="Times New Roman" w:hAnsi="Times New Roman" w:eastAsia="宋体" w:cs="Times New Roman"/>
          <w:sz w:val="28"/>
          <w:szCs w:val="28"/>
          <w:highlight w:val="none"/>
          <w:lang w:val="en-US" w:eastAsia="zh-CN"/>
        </w:rPr>
        <w:t>0</w:t>
      </w:r>
      <w:r>
        <w:rPr>
          <w:rFonts w:hint="default" w:ascii="Times New Roman" w:hAnsi="Times New Roman" w:eastAsia="宋体" w:cs="Times New Roman"/>
          <w:sz w:val="28"/>
          <w:szCs w:val="28"/>
          <w:highlight w:val="none"/>
          <w:lang w:val="en-US" w:eastAsia="zh-CN"/>
        </w:rPr>
        <w:t>～</w:t>
      </w:r>
      <w:r>
        <w:rPr>
          <w:rFonts w:hint="eastAsia" w:ascii="Times New Roman" w:hAnsi="Times New Roman" w:eastAsia="宋体" w:cs="Times New Roman"/>
          <w:sz w:val="28"/>
          <w:szCs w:val="28"/>
          <w:highlight w:val="none"/>
          <w:lang w:val="en-US" w:eastAsia="zh-CN"/>
        </w:rPr>
        <w:t>59</w:t>
      </w:r>
      <w:r>
        <w:rPr>
          <w:rFonts w:hint="default" w:ascii="Times New Roman" w:hAnsi="Times New Roman" w:eastAsia="宋体" w:cs="Times New Roman"/>
          <w:sz w:val="28"/>
          <w:szCs w:val="28"/>
          <w:highlight w:val="none"/>
          <w:lang w:val="en-US" w:eastAsia="zh-CN"/>
        </w:rPr>
        <w:t>dB(A)，夜间噪声值范围为4</w:t>
      </w:r>
      <w:r>
        <w:rPr>
          <w:rFonts w:hint="eastAsia" w:ascii="Times New Roman" w:hAnsi="Times New Roman" w:eastAsia="宋体" w:cs="Times New Roman"/>
          <w:sz w:val="28"/>
          <w:szCs w:val="28"/>
          <w:highlight w:val="none"/>
          <w:lang w:val="en-US" w:eastAsia="zh-CN"/>
        </w:rPr>
        <w:t>0</w:t>
      </w:r>
      <w:r>
        <w:rPr>
          <w:rFonts w:hint="default" w:ascii="Times New Roman" w:hAnsi="Times New Roman" w:eastAsia="宋体" w:cs="Times New Roman"/>
          <w:sz w:val="28"/>
          <w:szCs w:val="28"/>
          <w:highlight w:val="none"/>
          <w:lang w:val="en-US" w:eastAsia="zh-CN"/>
        </w:rPr>
        <w:t>～4</w:t>
      </w:r>
      <w:r>
        <w:rPr>
          <w:rFonts w:hint="eastAsia" w:ascii="Times New Roman" w:hAnsi="Times New Roman" w:eastAsia="宋体" w:cs="Times New Roman"/>
          <w:sz w:val="28"/>
          <w:szCs w:val="28"/>
          <w:highlight w:val="none"/>
          <w:lang w:val="en-US" w:eastAsia="zh-CN"/>
        </w:rPr>
        <w:t>6</w:t>
      </w:r>
      <w:r>
        <w:rPr>
          <w:rFonts w:hint="default" w:ascii="Times New Roman" w:hAnsi="Times New Roman" w:eastAsia="宋体" w:cs="Times New Roman"/>
          <w:sz w:val="28"/>
          <w:szCs w:val="28"/>
          <w:highlight w:val="none"/>
          <w:lang w:val="en-US" w:eastAsia="zh-CN"/>
        </w:rPr>
        <w:t>dB(A)</w:t>
      </w:r>
      <w:r>
        <w:rPr>
          <w:rFonts w:hint="eastAsia"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CN"/>
        </w:rPr>
        <w:t>经监测结果可知</w:t>
      </w:r>
      <w:r>
        <w:rPr>
          <w:rFonts w:hint="eastAsia" w:ascii="Times New Roman" w:hAnsi="Times New Roman" w:eastAsia="宋体" w:cs="Times New Roman"/>
          <w:sz w:val="28"/>
          <w:szCs w:val="28"/>
          <w:highlight w:val="none"/>
          <w:lang w:val="en-US" w:eastAsia="zh-CN"/>
        </w:rPr>
        <w:t>，</w:t>
      </w:r>
      <w:r>
        <w:rPr>
          <w:rFonts w:hint="default" w:ascii="Times New Roman" w:hAnsi="Times New Roman" w:eastAsia="宋体" w:cs="Times New Roman"/>
          <w:sz w:val="28"/>
          <w:szCs w:val="28"/>
          <w:highlight w:val="none"/>
          <w:lang w:val="en-US" w:eastAsia="zh-CN"/>
        </w:rPr>
        <w:t>厂界噪声能够满足《工业企业厂界环境噪声排放标准》（GB12348-2008）</w:t>
      </w:r>
      <w:r>
        <w:rPr>
          <w:rFonts w:hint="eastAsia" w:ascii="Times New Roman" w:hAnsi="Times New Roman" w:eastAsia="宋体" w:cs="Times New Roman"/>
          <w:sz w:val="28"/>
          <w:szCs w:val="28"/>
          <w:highlight w:val="none"/>
          <w:lang w:val="en-US" w:eastAsia="zh-CN"/>
        </w:rPr>
        <w:t>3</w:t>
      </w:r>
      <w:r>
        <w:rPr>
          <w:rFonts w:hint="default" w:ascii="Times New Roman" w:hAnsi="Times New Roman" w:eastAsia="宋体" w:cs="Times New Roman"/>
          <w:sz w:val="28"/>
          <w:szCs w:val="28"/>
          <w:highlight w:val="none"/>
          <w:lang w:val="en-US" w:eastAsia="zh-CN"/>
        </w:rPr>
        <w:t>类（昼间6</w:t>
      </w:r>
      <w:r>
        <w:rPr>
          <w:rFonts w:hint="eastAsia" w:ascii="Times New Roman" w:hAnsi="Times New Roman" w:eastAsia="宋体" w:cs="Times New Roman"/>
          <w:sz w:val="28"/>
          <w:szCs w:val="28"/>
          <w:highlight w:val="none"/>
          <w:lang w:val="en-US" w:eastAsia="zh-CN"/>
        </w:rPr>
        <w:t>5</w:t>
      </w:r>
      <w:r>
        <w:rPr>
          <w:rFonts w:hint="default" w:ascii="Times New Roman" w:hAnsi="Times New Roman" w:eastAsia="宋体" w:cs="Times New Roman"/>
          <w:sz w:val="28"/>
          <w:szCs w:val="28"/>
          <w:highlight w:val="none"/>
          <w:lang w:val="en-US" w:eastAsia="zh-CN"/>
        </w:rPr>
        <w:t>dB（A）、夜间5</w:t>
      </w:r>
      <w:r>
        <w:rPr>
          <w:rFonts w:hint="eastAsia" w:ascii="Times New Roman" w:hAnsi="Times New Roman" w:eastAsia="宋体" w:cs="Times New Roman"/>
          <w:sz w:val="28"/>
          <w:szCs w:val="28"/>
          <w:highlight w:val="none"/>
          <w:lang w:val="en-US" w:eastAsia="zh-CN"/>
        </w:rPr>
        <w:t>5</w:t>
      </w:r>
      <w:r>
        <w:rPr>
          <w:rFonts w:hint="default" w:ascii="Times New Roman" w:hAnsi="Times New Roman" w:eastAsia="宋体" w:cs="Times New Roman"/>
          <w:sz w:val="28"/>
          <w:szCs w:val="28"/>
          <w:highlight w:val="none"/>
          <w:lang w:val="en-US" w:eastAsia="zh-CN"/>
        </w:rPr>
        <w:t>dB（A））标准要求。</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default" w:ascii="Times New Roman" w:hAnsi="Times New Roman" w:eastAsia="宋体" w:cs="Times New Roman"/>
          <w:sz w:val="28"/>
          <w:szCs w:val="28"/>
          <w:highlight w:val="none"/>
          <w:lang w:val="en-US" w:eastAsia="zh-CN"/>
        </w:rPr>
        <w:t>（4）固体废物</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年产80万平方米铝合金门窗生产制造项目固废主要为</w:t>
      </w:r>
      <w:r>
        <w:rPr>
          <w:rFonts w:hint="default" w:ascii="Times New Roman" w:hAnsi="Times New Roman" w:eastAsia="宋体" w:cs="Times New Roman"/>
          <w:sz w:val="28"/>
          <w:szCs w:val="28"/>
          <w:highlight w:val="none"/>
          <w:lang w:val="en-US" w:eastAsia="zh-CN"/>
        </w:rPr>
        <w:t>开料、</w:t>
      </w:r>
      <w:r>
        <w:rPr>
          <w:rFonts w:hint="eastAsia" w:ascii="Times New Roman" w:hAnsi="Times New Roman" w:eastAsia="宋体" w:cs="Times New Roman"/>
          <w:sz w:val="28"/>
          <w:szCs w:val="28"/>
          <w:highlight w:val="none"/>
          <w:lang w:val="en-US" w:eastAsia="zh-CN"/>
        </w:rPr>
        <w:t>开角码、冲孔、锣榫、铣锁孔工艺产生的边角料和金属屑、包装过程产生的废包装物和生产过程中的含油废抹布。</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扩建年产40万平方米铝合金门窗生产制造</w:t>
      </w:r>
      <w:r>
        <w:rPr>
          <w:rFonts w:hint="default" w:ascii="Times New Roman" w:hAnsi="Times New Roman" w:eastAsia="宋体" w:cs="Times New Roman"/>
          <w:sz w:val="28"/>
          <w:szCs w:val="28"/>
          <w:highlight w:val="none"/>
          <w:lang w:val="en-US" w:eastAsia="zh-CN"/>
        </w:rPr>
        <w:t>项</w:t>
      </w:r>
      <w:r>
        <w:rPr>
          <w:rFonts w:hint="eastAsia" w:ascii="Times New Roman" w:hAnsi="Times New Roman" w:eastAsia="宋体" w:cs="Times New Roman"/>
          <w:sz w:val="28"/>
          <w:szCs w:val="28"/>
          <w:highlight w:val="none"/>
          <w:lang w:val="en-US" w:eastAsia="zh-CN"/>
        </w:rPr>
        <w:t>目固体废物包括一般固体废物和危险废物。一般固体废物包括开料、开角码、冲孔、锣榫、铣锁孔工艺产生的边角料和金属屑、包装过程产生的废包装物；危险废物主要包括设备维护过程和冲孔过程中产生的含油废抹布。产生的废弃物均在厂区暂存。本项目不涉及新增劳动定员不涉及生活垃圾。</w:t>
      </w:r>
    </w:p>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rPr>
          <w:rFonts w:hint="default" w:ascii="Times New Roman" w:hAnsi="Times New Roman" w:eastAsia="宋体" w:cs="Times New Roman"/>
          <w:sz w:val="28"/>
          <w:szCs w:val="28"/>
          <w:highlight w:val="none"/>
          <w:lang w:val="en-US" w:eastAsia="zh-CN"/>
        </w:rPr>
      </w:pPr>
      <w:r>
        <w:rPr>
          <w:rFonts w:hint="eastAsia" w:ascii="Times New Roman" w:hAnsi="Times New Roman" w:eastAsia="宋体" w:cs="Times New Roman"/>
          <w:sz w:val="28"/>
          <w:szCs w:val="28"/>
          <w:highlight w:val="none"/>
          <w:lang w:val="en-US" w:eastAsia="zh-CN"/>
        </w:rPr>
        <w:t>边角料、金属屑和包装过程产生的废包装物</w:t>
      </w:r>
      <w:r>
        <w:rPr>
          <w:rFonts w:hint="default" w:ascii="Times New Roman" w:hAnsi="Times New Roman" w:eastAsia="宋体" w:cs="Times New Roman"/>
          <w:sz w:val="28"/>
          <w:szCs w:val="28"/>
          <w:highlight w:val="none"/>
          <w:lang w:val="en-US" w:eastAsia="zh-CN"/>
        </w:rPr>
        <w:t>收集后外售；含油废抹布危废间暂存后，混入生活垃圾中，运至垃圾中转站集中处理。</w:t>
      </w:r>
    </w:p>
    <w:p>
      <w:pPr>
        <w:pStyle w:val="2"/>
        <w:keepNext w:val="0"/>
        <w:keepLines w:val="0"/>
        <w:pageBreakBefore w:val="0"/>
        <w:widowControl w:val="0"/>
        <w:kinsoku/>
        <w:wordWrap/>
        <w:overflowPunct/>
        <w:topLinePunct w:val="0"/>
        <w:autoSpaceDE/>
        <w:autoSpaceDN/>
        <w:bidi w:val="0"/>
        <w:adjustRightInd/>
        <w:snapToGrid/>
        <w:spacing w:line="480" w:lineRule="atLeast"/>
        <w:ind w:firstLine="562" w:firstLineChars="200"/>
        <w:textAlignment w:val="auto"/>
        <w:rPr>
          <w:rFonts w:ascii="宋体" w:hAnsi="宋体" w:eastAsia="宋体"/>
          <w:b/>
          <w:bCs/>
          <w:color w:val="auto"/>
          <w:sz w:val="28"/>
          <w:szCs w:val="28"/>
          <w:highlight w:val="none"/>
        </w:rPr>
      </w:pPr>
      <w:r>
        <w:rPr>
          <w:rFonts w:hint="default" w:ascii="Times New Roman" w:hAnsi="Times New Roman" w:eastAsia="宋体" w:cs="Times New Roman"/>
          <w:b/>
          <w:bCs/>
          <w:color w:val="auto"/>
          <w:sz w:val="28"/>
          <w:szCs w:val="28"/>
          <w:highlight w:val="none"/>
        </w:rPr>
        <w:t>五、</w:t>
      </w:r>
      <w:r>
        <w:rPr>
          <w:rFonts w:hint="eastAsia" w:ascii="宋体" w:hAnsi="宋体" w:eastAsia="宋体"/>
          <w:b/>
          <w:bCs/>
          <w:color w:val="auto"/>
          <w:sz w:val="28"/>
          <w:szCs w:val="28"/>
          <w:highlight w:val="none"/>
        </w:rPr>
        <w:t>工程建设对环境的影响</w:t>
      </w:r>
    </w:p>
    <w:p>
      <w:pPr>
        <w:bidi w:val="0"/>
        <w:ind w:firstLine="560" w:firstLineChars="200"/>
        <w:rPr>
          <w:rFonts w:hint="eastAsia"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验收监测期间，项目各项污染物均能够做到达标排放或有效处理处置，项目建设对周围环境影响很小，满足验收要求。</w:t>
      </w:r>
    </w:p>
    <w:p>
      <w:pPr>
        <w:pStyle w:val="2"/>
        <w:bidi w:val="0"/>
        <w:ind w:firstLine="602" w:firstLineChars="200"/>
        <w:rPr>
          <w:rFonts w:hint="default"/>
        </w:rPr>
      </w:pPr>
      <w:r>
        <w:rPr>
          <w:rFonts w:hint="default"/>
        </w:rPr>
        <w:t>六、验收结论</w:t>
      </w:r>
    </w:p>
    <w:p>
      <w:pPr>
        <w:bidi w:val="0"/>
        <w:ind w:firstLine="560" w:firstLineChars="200"/>
        <w:rPr>
          <w:rFonts w:hint="default" w:ascii="Times New Roman" w:hAnsi="Times New Roman" w:eastAsia="宋体" w:cs="Times New Roman"/>
          <w:sz w:val="28"/>
          <w:szCs w:val="28"/>
          <w:lang w:val="en-US" w:eastAsia="zh-CN"/>
        </w:rPr>
      </w:pPr>
      <w:r>
        <w:rPr>
          <w:rFonts w:hint="eastAsia" w:ascii="Times New Roman" w:hAnsi="Times New Roman" w:eastAsia="宋体" w:cs="Times New Roman"/>
          <w:sz w:val="28"/>
          <w:szCs w:val="28"/>
          <w:lang w:val="en-US" w:eastAsia="zh-CN"/>
        </w:rPr>
        <w:t>河南住方科技有限公司年产80万平方米铝合金门窗生产制造项目、扩建年产40万平方米铝合金门窗生产制造项目</w:t>
      </w:r>
      <w:r>
        <w:rPr>
          <w:rFonts w:hint="default" w:ascii="Times New Roman" w:hAnsi="Times New Roman" w:eastAsia="宋体" w:cs="Times New Roman"/>
          <w:sz w:val="28"/>
          <w:szCs w:val="28"/>
          <w:lang w:val="en-US" w:eastAsia="zh-CN"/>
        </w:rPr>
        <w:t>在建设过程中，基本按照环评及其批复要求落实相关环保设施，各项污染物能够实现达标排放或合理处置，项目建设对环境影响很小。</w:t>
      </w:r>
    </w:p>
    <w:p>
      <w:pPr>
        <w:bidi w:val="0"/>
        <w:ind w:firstLine="560" w:firstLineChars="200"/>
        <w:rPr>
          <w:rFonts w:hint="default" w:ascii="Times New Roman" w:hAnsi="Times New Roman" w:eastAsia="宋体" w:cs="Times New Roman"/>
          <w:sz w:val="28"/>
          <w:szCs w:val="28"/>
          <w:lang w:val="en-US" w:eastAsia="zh-CN"/>
        </w:rPr>
      </w:pPr>
      <w:r>
        <w:rPr>
          <w:rFonts w:hint="default" w:ascii="Times New Roman" w:hAnsi="Times New Roman" w:eastAsia="宋体" w:cs="Times New Roman"/>
          <w:sz w:val="28"/>
          <w:szCs w:val="28"/>
          <w:lang w:val="en-US" w:eastAsia="zh-CN"/>
        </w:rPr>
        <w:t>综上所述，</w:t>
      </w:r>
      <w:r>
        <w:rPr>
          <w:rFonts w:hint="eastAsia" w:ascii="Times New Roman" w:hAnsi="Times New Roman" w:eastAsia="宋体" w:cs="Times New Roman"/>
          <w:sz w:val="28"/>
          <w:szCs w:val="28"/>
          <w:lang w:val="en-US" w:eastAsia="zh-CN"/>
        </w:rPr>
        <w:t>河南住方科技有限公司年产80万平方米铝合金门窗生产制造项目、扩建年产40万平方米铝合金门窗生产制造项目</w:t>
      </w:r>
      <w:r>
        <w:rPr>
          <w:rFonts w:hint="default" w:ascii="Times New Roman" w:hAnsi="Times New Roman" w:eastAsia="宋体" w:cs="Times New Roman"/>
          <w:sz w:val="28"/>
          <w:szCs w:val="28"/>
          <w:lang w:val="en-US" w:eastAsia="zh-CN"/>
        </w:rPr>
        <w:t>不存在《建设项目竣工环境保护验收暂行办法》中所规定的验收不合格情形，验收组一致同意本项目通过</w:t>
      </w:r>
      <w:r>
        <w:rPr>
          <w:rFonts w:hint="eastAsia" w:ascii="Times New Roman" w:hAnsi="Times New Roman" w:eastAsia="宋体" w:cs="Times New Roman"/>
          <w:sz w:val="28"/>
          <w:szCs w:val="28"/>
          <w:lang w:val="en-US" w:eastAsia="zh-CN"/>
        </w:rPr>
        <w:t>本</w:t>
      </w:r>
      <w:r>
        <w:rPr>
          <w:rFonts w:hint="default" w:ascii="Times New Roman" w:hAnsi="Times New Roman" w:eastAsia="宋体" w:cs="Times New Roman"/>
          <w:sz w:val="28"/>
          <w:szCs w:val="28"/>
          <w:lang w:val="en-US" w:eastAsia="zh-CN"/>
        </w:rPr>
        <w:t>项目竣工环境保护验收。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562" w:firstLineChars="200"/>
        <w:jc w:val="both"/>
        <w:textAlignment w:val="auto"/>
        <w:rPr>
          <w:rFonts w:hint="eastAsia" w:ascii="宋体" w:hAnsi="宋体" w:eastAsia="宋体"/>
          <w:b/>
          <w:bCs/>
          <w:sz w:val="28"/>
          <w:szCs w:val="28"/>
          <w:lang w:val="en-US" w:eastAsia="zh-CN"/>
        </w:rPr>
      </w:pPr>
      <w:r>
        <w:rPr>
          <w:rFonts w:hint="eastAsia" w:ascii="宋体" w:hAnsi="宋体" w:eastAsia="宋体"/>
          <w:b/>
          <w:bCs/>
          <w:sz w:val="28"/>
          <w:szCs w:val="28"/>
          <w:lang w:eastAsia="zh-CN"/>
        </w:rPr>
        <w:t>七、验收组员信息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both"/>
        <w:textAlignment w:val="auto"/>
        <w:outlineLvl w:val="9"/>
        <w:rPr>
          <w:rFonts w:hint="eastAsia" w:ascii="宋体" w:hAnsi="宋体" w:eastAsia="宋体"/>
          <w:b/>
          <w:bCs/>
          <w:sz w:val="28"/>
          <w:szCs w:val="28"/>
          <w:lang w:val="en-US" w:eastAsia="zh-CN"/>
        </w:rPr>
      </w:pPr>
    </w:p>
    <w:p>
      <w:pPr>
        <w:snapToGrid w:val="0"/>
        <w:spacing w:after="156" w:afterLines="50"/>
        <w:jc w:val="right"/>
        <w:rPr>
          <w:rFonts w:hint="eastAsia" w:ascii="宋体" w:hAnsi="宋体" w:eastAsia="宋体" w:cs="宋体"/>
          <w:b/>
          <w:bCs/>
          <w:sz w:val="32"/>
          <w:szCs w:val="21"/>
          <w:lang w:val="en-US" w:eastAsia="zh-CN"/>
        </w:rPr>
      </w:pPr>
      <w:r>
        <w:rPr>
          <w:rFonts w:hint="eastAsia" w:ascii="宋体" w:hAnsi="宋体" w:eastAsia="宋体" w:cs="宋体"/>
          <w:b/>
          <w:bCs/>
          <w:sz w:val="32"/>
          <w:szCs w:val="21"/>
          <w:lang w:val="en-US" w:eastAsia="zh-CN"/>
        </w:rPr>
        <w:t>河南住方科技有限公司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right="0" w:rightChars="0"/>
        <w:jc w:val="right"/>
        <w:textAlignment w:val="auto"/>
        <w:outlineLvl w:val="9"/>
        <w:rPr>
          <w:rFonts w:hint="eastAsia" w:ascii="宋体" w:hAnsi="宋体" w:eastAsia="宋体"/>
          <w:b/>
          <w:bCs/>
          <w:sz w:val="28"/>
          <w:szCs w:val="28"/>
          <w:lang w:val="en-US"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lang w:val="en-US" w:eastAsia="zh-CN"/>
        </w:rPr>
      </w:pPr>
      <w:bookmarkStart w:id="4" w:name="_GoBack"/>
      <w:r>
        <w:rPr>
          <w:rFonts w:hint="eastAsia"/>
          <w:lang w:val="en-US" w:eastAsia="zh-CN"/>
        </w:rPr>
        <w:drawing>
          <wp:anchor distT="0" distB="0" distL="114300" distR="114300" simplePos="0" relativeHeight="251658240" behindDoc="0" locked="0" layoutInCell="1" allowOverlap="1">
            <wp:simplePos x="0" y="0"/>
            <wp:positionH relativeFrom="column">
              <wp:posOffset>0</wp:posOffset>
            </wp:positionH>
            <wp:positionV relativeFrom="paragraph">
              <wp:posOffset>38100</wp:posOffset>
            </wp:positionV>
            <wp:extent cx="7559040" cy="10692130"/>
            <wp:effectExtent l="0" t="0" r="3810" b="13970"/>
            <wp:wrapSquare wrapText="bothSides"/>
            <wp:docPr id="1" name="图片 1" descr="住方签名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住方签名表"/>
                    <pic:cNvPicPr>
                      <a:picLocks noChangeAspect="1"/>
                    </pic:cNvPicPr>
                  </pic:nvPicPr>
                  <pic:blipFill>
                    <a:blip r:embed="rId6"/>
                    <a:stretch>
                      <a:fillRect/>
                    </a:stretch>
                  </pic:blipFill>
                  <pic:spPr>
                    <a:xfrm>
                      <a:off x="0" y="0"/>
                      <a:ext cx="7559040" cy="10692130"/>
                    </a:xfrm>
                    <a:prstGeom prst="rect">
                      <a:avLst/>
                    </a:prstGeom>
                  </pic:spPr>
                </pic:pic>
              </a:graphicData>
            </a:graphic>
          </wp:anchor>
        </w:drawing>
      </w:r>
      <w:bookmarkEnd w:id="4"/>
    </w:p>
    <w:sectPr>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posOffset>2605405</wp:posOffset>
              </wp:positionH>
              <wp:positionV relativeFrom="paragraph">
                <wp:posOffset>0</wp:posOffset>
              </wp:positionV>
              <wp:extent cx="762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762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15pt;margin-top:0pt;height:144pt;width:6pt;mso-position-horizontal-relative:margin;z-index:251658240;mso-width-relative:page;mso-height-relative:page;" filled="f" stroked="f" coordsize="21600,21600" o:gfxdata="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IphA81QAAAAgBAAAPAAAAAAAAAAEAIAAAACIAAABkcnMvZG93bnJldi54&#10;bWxQSwECFAAUAAAACACHTuJAW8E+9DYCAABhBAAADgAAAAAAAAABACAAAAAkAQAAZHJzL2Uyb0Rv&#10;Yy54bWxQSwUGAAAAAAYABgBZAQAAzAUAAAAA&#10;">
              <v:fill on="f" focussize="0,0"/>
              <v:stroke on="f" weight="0.5pt"/>
              <v:imagedata o:title=""/>
              <o:lock v:ext="edit" aspectratio="f"/>
              <v:textbox inset="0mm,0mm,0mm,0mm" style="mso-fit-shape-to-text:t;">
                <w:txbxContent>
                  <w:p>
                    <w:pPr>
                      <w:pStyle w:val="11"/>
                      <w:rPr>
                        <w:rFonts w:hint="default" w:ascii="Times New Roman" w:hAnsi="Times New Roman" w:eastAsia="宋体" w:cs="Times New Roman"/>
                        <w:lang w:eastAsia="zh-CN"/>
                      </w:rPr>
                    </w:pPr>
                    <w:r>
                      <w:rPr>
                        <w:rFonts w:hint="default" w:ascii="Times New Roman" w:hAnsi="Times New Roman" w:eastAsia="宋体" w:cs="Times New Roman"/>
                        <w:lang w:eastAsia="zh-CN"/>
                      </w:rPr>
                      <w:fldChar w:fldCharType="begin"/>
                    </w:r>
                    <w:r>
                      <w:rPr>
                        <w:rFonts w:hint="default" w:ascii="Times New Roman" w:hAnsi="Times New Roman" w:eastAsia="宋体" w:cs="Times New Roman"/>
                        <w:lang w:eastAsia="zh-CN"/>
                      </w:rPr>
                      <w:instrText xml:space="preserve"> PAGE  \* MERGEFORMAT </w:instrText>
                    </w:r>
                    <w:r>
                      <w:rPr>
                        <w:rFonts w:hint="default" w:ascii="Times New Roman" w:hAnsi="Times New Roman" w:eastAsia="宋体" w:cs="Times New Roman"/>
                        <w:lang w:eastAsia="zh-CN"/>
                      </w:rPr>
                      <w:fldChar w:fldCharType="separate"/>
                    </w:r>
                    <w:r>
                      <w:rPr>
                        <w:rFonts w:hint="default" w:ascii="Times New Roman" w:hAnsi="Times New Roman" w:eastAsia="宋体" w:cs="Times New Roman"/>
                        <w:lang w:eastAsia="zh-CN"/>
                      </w:rPr>
                      <w:t>1</w:t>
                    </w:r>
                    <w:r>
                      <w:rPr>
                        <w:rFonts w:hint="default" w:ascii="Times New Roman" w:hAnsi="Times New Roman" w:eastAsia="宋体" w:cs="Times New Roman"/>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C9CCB"/>
    <w:multiLevelType w:val="singleLevel"/>
    <w:tmpl w:val="5A4C9CCB"/>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hideGrammatical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5B07"/>
    <w:rsid w:val="00065166"/>
    <w:rsid w:val="0007309C"/>
    <w:rsid w:val="00080736"/>
    <w:rsid w:val="00090B43"/>
    <w:rsid w:val="000A64D0"/>
    <w:rsid w:val="000B3300"/>
    <w:rsid w:val="000B7876"/>
    <w:rsid w:val="001121F2"/>
    <w:rsid w:val="001441DB"/>
    <w:rsid w:val="00174143"/>
    <w:rsid w:val="001E12FD"/>
    <w:rsid w:val="001E4310"/>
    <w:rsid w:val="001F3151"/>
    <w:rsid w:val="00204624"/>
    <w:rsid w:val="00295B07"/>
    <w:rsid w:val="00352B38"/>
    <w:rsid w:val="00392261"/>
    <w:rsid w:val="003938E8"/>
    <w:rsid w:val="003A54B3"/>
    <w:rsid w:val="00422A2B"/>
    <w:rsid w:val="004276A4"/>
    <w:rsid w:val="00433B70"/>
    <w:rsid w:val="00453A2D"/>
    <w:rsid w:val="00455739"/>
    <w:rsid w:val="00524277"/>
    <w:rsid w:val="00544B73"/>
    <w:rsid w:val="005524D7"/>
    <w:rsid w:val="00574B20"/>
    <w:rsid w:val="00616643"/>
    <w:rsid w:val="00774F9F"/>
    <w:rsid w:val="007C309F"/>
    <w:rsid w:val="007C5231"/>
    <w:rsid w:val="007D0B67"/>
    <w:rsid w:val="007E2924"/>
    <w:rsid w:val="007F0035"/>
    <w:rsid w:val="00876640"/>
    <w:rsid w:val="008B30D8"/>
    <w:rsid w:val="008C4959"/>
    <w:rsid w:val="008E592E"/>
    <w:rsid w:val="008E7424"/>
    <w:rsid w:val="009021F0"/>
    <w:rsid w:val="00970983"/>
    <w:rsid w:val="009B4C44"/>
    <w:rsid w:val="009F6467"/>
    <w:rsid w:val="00A36FC6"/>
    <w:rsid w:val="00A54194"/>
    <w:rsid w:val="00B01231"/>
    <w:rsid w:val="00B21C67"/>
    <w:rsid w:val="00B85659"/>
    <w:rsid w:val="00C360C1"/>
    <w:rsid w:val="00C91754"/>
    <w:rsid w:val="00C92E4F"/>
    <w:rsid w:val="00C95DDB"/>
    <w:rsid w:val="00CF155F"/>
    <w:rsid w:val="00D4758F"/>
    <w:rsid w:val="00D8588E"/>
    <w:rsid w:val="00DC431D"/>
    <w:rsid w:val="00DF77B8"/>
    <w:rsid w:val="00E1126E"/>
    <w:rsid w:val="00E1514C"/>
    <w:rsid w:val="00E7568E"/>
    <w:rsid w:val="00E926D1"/>
    <w:rsid w:val="00EA1A93"/>
    <w:rsid w:val="00EA4F5E"/>
    <w:rsid w:val="00EA7FB2"/>
    <w:rsid w:val="00EB0704"/>
    <w:rsid w:val="00EE4B8E"/>
    <w:rsid w:val="00F13F21"/>
    <w:rsid w:val="00F6698C"/>
    <w:rsid w:val="00FC3857"/>
    <w:rsid w:val="00FE20AF"/>
    <w:rsid w:val="021A1F3C"/>
    <w:rsid w:val="03D34DBA"/>
    <w:rsid w:val="03F24B44"/>
    <w:rsid w:val="048C24BC"/>
    <w:rsid w:val="054C13B5"/>
    <w:rsid w:val="06C35622"/>
    <w:rsid w:val="06CE4E29"/>
    <w:rsid w:val="06F64ACD"/>
    <w:rsid w:val="077F4CF6"/>
    <w:rsid w:val="07971903"/>
    <w:rsid w:val="08042931"/>
    <w:rsid w:val="096C4016"/>
    <w:rsid w:val="09855241"/>
    <w:rsid w:val="09F45F83"/>
    <w:rsid w:val="09FA07D4"/>
    <w:rsid w:val="0C102388"/>
    <w:rsid w:val="0C1A429C"/>
    <w:rsid w:val="0C2B432C"/>
    <w:rsid w:val="0C4734F9"/>
    <w:rsid w:val="0C4A2FE4"/>
    <w:rsid w:val="0C67747D"/>
    <w:rsid w:val="0CEB1270"/>
    <w:rsid w:val="0CED43C7"/>
    <w:rsid w:val="0DB6663D"/>
    <w:rsid w:val="0E2A6620"/>
    <w:rsid w:val="0EB43C2E"/>
    <w:rsid w:val="0ECC7CCA"/>
    <w:rsid w:val="0ED46692"/>
    <w:rsid w:val="0F623843"/>
    <w:rsid w:val="0FAA355C"/>
    <w:rsid w:val="10B67BC6"/>
    <w:rsid w:val="10C74B8E"/>
    <w:rsid w:val="10E20E9A"/>
    <w:rsid w:val="11693271"/>
    <w:rsid w:val="11BF6705"/>
    <w:rsid w:val="1233585A"/>
    <w:rsid w:val="127308C2"/>
    <w:rsid w:val="137726C8"/>
    <w:rsid w:val="13AD76F9"/>
    <w:rsid w:val="15053F2B"/>
    <w:rsid w:val="15451814"/>
    <w:rsid w:val="15AF55D0"/>
    <w:rsid w:val="15DB6B8C"/>
    <w:rsid w:val="162E7BB6"/>
    <w:rsid w:val="17A57608"/>
    <w:rsid w:val="184D178B"/>
    <w:rsid w:val="187A2650"/>
    <w:rsid w:val="18B02EC0"/>
    <w:rsid w:val="190308C6"/>
    <w:rsid w:val="1904067D"/>
    <w:rsid w:val="19203B62"/>
    <w:rsid w:val="19AB7D41"/>
    <w:rsid w:val="1A015655"/>
    <w:rsid w:val="1A4074D7"/>
    <w:rsid w:val="1A576DBC"/>
    <w:rsid w:val="1B2B425F"/>
    <w:rsid w:val="1B8E2DA2"/>
    <w:rsid w:val="1C5961F4"/>
    <w:rsid w:val="1D427983"/>
    <w:rsid w:val="1D6D442F"/>
    <w:rsid w:val="1EB64F8A"/>
    <w:rsid w:val="1F0D6682"/>
    <w:rsid w:val="1F7B5331"/>
    <w:rsid w:val="20BD76D2"/>
    <w:rsid w:val="21563681"/>
    <w:rsid w:val="21983303"/>
    <w:rsid w:val="21EC67D3"/>
    <w:rsid w:val="22597796"/>
    <w:rsid w:val="22862782"/>
    <w:rsid w:val="22A1271B"/>
    <w:rsid w:val="22E47FD9"/>
    <w:rsid w:val="234F711D"/>
    <w:rsid w:val="2458052C"/>
    <w:rsid w:val="2591314D"/>
    <w:rsid w:val="25C1541B"/>
    <w:rsid w:val="263A64E3"/>
    <w:rsid w:val="26DE4CF9"/>
    <w:rsid w:val="26F569DD"/>
    <w:rsid w:val="27420E9E"/>
    <w:rsid w:val="274436A1"/>
    <w:rsid w:val="27542DD3"/>
    <w:rsid w:val="276B5C2B"/>
    <w:rsid w:val="27CD5B35"/>
    <w:rsid w:val="27F24B31"/>
    <w:rsid w:val="294744C3"/>
    <w:rsid w:val="2A824112"/>
    <w:rsid w:val="2ADE5063"/>
    <w:rsid w:val="2BA24FA7"/>
    <w:rsid w:val="2C8B39AE"/>
    <w:rsid w:val="2C943202"/>
    <w:rsid w:val="2D250C18"/>
    <w:rsid w:val="2DC124DB"/>
    <w:rsid w:val="2E800DD9"/>
    <w:rsid w:val="2EC83D55"/>
    <w:rsid w:val="2F4908CC"/>
    <w:rsid w:val="2FCD6924"/>
    <w:rsid w:val="301B6DA0"/>
    <w:rsid w:val="30DE740B"/>
    <w:rsid w:val="31372D62"/>
    <w:rsid w:val="318C3C4C"/>
    <w:rsid w:val="31F17081"/>
    <w:rsid w:val="31F83A06"/>
    <w:rsid w:val="31FA182C"/>
    <w:rsid w:val="329E0724"/>
    <w:rsid w:val="32CE6DC9"/>
    <w:rsid w:val="32D90AD2"/>
    <w:rsid w:val="33137D51"/>
    <w:rsid w:val="33754BED"/>
    <w:rsid w:val="342E24ED"/>
    <w:rsid w:val="34D10E5D"/>
    <w:rsid w:val="36685B3D"/>
    <w:rsid w:val="367B51C9"/>
    <w:rsid w:val="36C033A8"/>
    <w:rsid w:val="36C86E54"/>
    <w:rsid w:val="38FB7B6F"/>
    <w:rsid w:val="39300A2C"/>
    <w:rsid w:val="39966137"/>
    <w:rsid w:val="39F12DF0"/>
    <w:rsid w:val="3ACD708D"/>
    <w:rsid w:val="3C6346F1"/>
    <w:rsid w:val="3D995CBF"/>
    <w:rsid w:val="3DDF0E0A"/>
    <w:rsid w:val="3E7B56BC"/>
    <w:rsid w:val="3E7E2DA6"/>
    <w:rsid w:val="3ECA22D5"/>
    <w:rsid w:val="3F22329C"/>
    <w:rsid w:val="3FAE5247"/>
    <w:rsid w:val="3FB91C08"/>
    <w:rsid w:val="402D0519"/>
    <w:rsid w:val="402E2D47"/>
    <w:rsid w:val="40BF0145"/>
    <w:rsid w:val="42257AC0"/>
    <w:rsid w:val="441935D3"/>
    <w:rsid w:val="446A5C09"/>
    <w:rsid w:val="45856105"/>
    <w:rsid w:val="45D03C25"/>
    <w:rsid w:val="46854AFE"/>
    <w:rsid w:val="46ED2639"/>
    <w:rsid w:val="476C64A6"/>
    <w:rsid w:val="47B37DB2"/>
    <w:rsid w:val="48814D24"/>
    <w:rsid w:val="497601AE"/>
    <w:rsid w:val="4A5B1D8C"/>
    <w:rsid w:val="4AD82C9E"/>
    <w:rsid w:val="4ADF0F76"/>
    <w:rsid w:val="4B226FBB"/>
    <w:rsid w:val="4B9E6B8B"/>
    <w:rsid w:val="4BCB2BE4"/>
    <w:rsid w:val="4BF720C6"/>
    <w:rsid w:val="4C1E5E17"/>
    <w:rsid w:val="4CBD201E"/>
    <w:rsid w:val="4D0F79D1"/>
    <w:rsid w:val="4D350EB8"/>
    <w:rsid w:val="4DE8333F"/>
    <w:rsid w:val="4E704596"/>
    <w:rsid w:val="4E956B97"/>
    <w:rsid w:val="4EBF3AF3"/>
    <w:rsid w:val="4ECE3543"/>
    <w:rsid w:val="4EFD1E1D"/>
    <w:rsid w:val="4F2D71A2"/>
    <w:rsid w:val="4F4B5123"/>
    <w:rsid w:val="4F595D33"/>
    <w:rsid w:val="502F09EC"/>
    <w:rsid w:val="506F43C1"/>
    <w:rsid w:val="508A07B1"/>
    <w:rsid w:val="50DF5EC5"/>
    <w:rsid w:val="50EC4B87"/>
    <w:rsid w:val="51227D2C"/>
    <w:rsid w:val="520750EA"/>
    <w:rsid w:val="52505BD7"/>
    <w:rsid w:val="526B07AB"/>
    <w:rsid w:val="535368BD"/>
    <w:rsid w:val="53963527"/>
    <w:rsid w:val="53BD4558"/>
    <w:rsid w:val="55B95008"/>
    <w:rsid w:val="55D0096C"/>
    <w:rsid w:val="56154794"/>
    <w:rsid w:val="564D0CC8"/>
    <w:rsid w:val="56741772"/>
    <w:rsid w:val="56F1013B"/>
    <w:rsid w:val="58137CD3"/>
    <w:rsid w:val="58594674"/>
    <w:rsid w:val="58C30377"/>
    <w:rsid w:val="58FB5C3F"/>
    <w:rsid w:val="592523CD"/>
    <w:rsid w:val="59722ED3"/>
    <w:rsid w:val="5A457013"/>
    <w:rsid w:val="5A72692E"/>
    <w:rsid w:val="5B320B88"/>
    <w:rsid w:val="5B587280"/>
    <w:rsid w:val="5BA22C61"/>
    <w:rsid w:val="5BE36F70"/>
    <w:rsid w:val="5C105D10"/>
    <w:rsid w:val="5C705EEE"/>
    <w:rsid w:val="5D6604BD"/>
    <w:rsid w:val="5DA830FB"/>
    <w:rsid w:val="5DD438F4"/>
    <w:rsid w:val="5E9A05FF"/>
    <w:rsid w:val="5EC24B73"/>
    <w:rsid w:val="5F2F1F13"/>
    <w:rsid w:val="5FFA25A2"/>
    <w:rsid w:val="60EA5F68"/>
    <w:rsid w:val="61484DFB"/>
    <w:rsid w:val="61EC22D7"/>
    <w:rsid w:val="62271CA3"/>
    <w:rsid w:val="62A01E44"/>
    <w:rsid w:val="633451DD"/>
    <w:rsid w:val="637D3C64"/>
    <w:rsid w:val="64920625"/>
    <w:rsid w:val="64D424AF"/>
    <w:rsid w:val="654B4ECE"/>
    <w:rsid w:val="65D72CE6"/>
    <w:rsid w:val="6652313C"/>
    <w:rsid w:val="66A1236A"/>
    <w:rsid w:val="66B25C5D"/>
    <w:rsid w:val="66F81464"/>
    <w:rsid w:val="67470CF6"/>
    <w:rsid w:val="674A268E"/>
    <w:rsid w:val="676D2EF1"/>
    <w:rsid w:val="67C917AA"/>
    <w:rsid w:val="686B65B3"/>
    <w:rsid w:val="69B55205"/>
    <w:rsid w:val="6A09428A"/>
    <w:rsid w:val="6AF27672"/>
    <w:rsid w:val="6B406153"/>
    <w:rsid w:val="6BAB08FA"/>
    <w:rsid w:val="6BC93CA0"/>
    <w:rsid w:val="6BFC1B04"/>
    <w:rsid w:val="6C407647"/>
    <w:rsid w:val="6C980577"/>
    <w:rsid w:val="6D334D14"/>
    <w:rsid w:val="6D69712A"/>
    <w:rsid w:val="6D91249F"/>
    <w:rsid w:val="6DD700CE"/>
    <w:rsid w:val="6EB86A8C"/>
    <w:rsid w:val="6F1020AD"/>
    <w:rsid w:val="6F3071A7"/>
    <w:rsid w:val="6F776A4F"/>
    <w:rsid w:val="6FC26274"/>
    <w:rsid w:val="70990C0D"/>
    <w:rsid w:val="70E16C06"/>
    <w:rsid w:val="71477480"/>
    <w:rsid w:val="71D14145"/>
    <w:rsid w:val="71F6540F"/>
    <w:rsid w:val="72B31904"/>
    <w:rsid w:val="737E20C7"/>
    <w:rsid w:val="74F105AB"/>
    <w:rsid w:val="759772DE"/>
    <w:rsid w:val="76362A12"/>
    <w:rsid w:val="767330A3"/>
    <w:rsid w:val="76D927D5"/>
    <w:rsid w:val="773C481C"/>
    <w:rsid w:val="77923542"/>
    <w:rsid w:val="77A22532"/>
    <w:rsid w:val="77CB3F27"/>
    <w:rsid w:val="7846010E"/>
    <w:rsid w:val="78CB5F95"/>
    <w:rsid w:val="795264C0"/>
    <w:rsid w:val="79EA666D"/>
    <w:rsid w:val="79FF4DA6"/>
    <w:rsid w:val="7A040EF8"/>
    <w:rsid w:val="7B06644D"/>
    <w:rsid w:val="7B0952BB"/>
    <w:rsid w:val="7BAE23D2"/>
    <w:rsid w:val="7C0F6371"/>
    <w:rsid w:val="7C2D14A8"/>
    <w:rsid w:val="7CDD090C"/>
    <w:rsid w:val="7E6654F2"/>
    <w:rsid w:val="7EEC6F1F"/>
    <w:rsid w:val="7F0C4EBA"/>
    <w:rsid w:val="7F4109DC"/>
    <w:rsid w:val="7FF7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8"/>
      <w:szCs w:val="22"/>
      <w:lang w:val="en-US" w:eastAsia="zh-CN" w:bidi="ar-SA"/>
    </w:rPr>
  </w:style>
  <w:style w:type="paragraph" w:styleId="2">
    <w:name w:val="heading 1"/>
    <w:basedOn w:val="1"/>
    <w:next w:val="1"/>
    <w:qFormat/>
    <w:uiPriority w:val="9"/>
    <w:pPr>
      <w:spacing w:line="480" w:lineRule="atLeast"/>
      <w:outlineLvl w:val="0"/>
    </w:pPr>
    <w:rPr>
      <w:rFonts w:ascii="宋体" w:hAnsi="宋体" w:eastAsia="宋体"/>
      <w:b/>
      <w:sz w:val="30"/>
      <w:szCs w:val="30"/>
    </w:rPr>
  </w:style>
  <w:style w:type="paragraph" w:styleId="3">
    <w:name w:val="heading 2"/>
    <w:basedOn w:val="1"/>
    <w:next w:val="1"/>
    <w:semiHidden/>
    <w:unhideWhenUsed/>
    <w:qFormat/>
    <w:uiPriority w:val="9"/>
    <w:pPr>
      <w:outlineLvl w:val="1"/>
    </w:pPr>
    <w:rPr>
      <w:sz w:val="28"/>
    </w:rPr>
  </w:style>
  <w:style w:type="paragraph" w:styleId="4">
    <w:name w:val="heading 3"/>
    <w:basedOn w:val="1"/>
    <w:next w:val="1"/>
    <w:link w:val="22"/>
    <w:qFormat/>
    <w:uiPriority w:val="0"/>
    <w:pPr>
      <w:spacing w:line="480" w:lineRule="atLeast"/>
      <w:outlineLvl w:val="2"/>
    </w:pPr>
    <w:rPr>
      <w:rFonts w:ascii="宋体" w:hAnsi="宋体" w:eastAsia="宋体"/>
      <w:sz w:val="24"/>
      <w:szCs w:val="24"/>
    </w:rPr>
  </w:style>
  <w:style w:type="paragraph" w:styleId="5">
    <w:name w:val="heading 4"/>
    <w:basedOn w:val="1"/>
    <w:next w:val="1"/>
    <w:qFormat/>
    <w:uiPriority w:val="0"/>
    <w:pPr>
      <w:keepNext/>
      <w:keepLines/>
      <w:spacing w:before="280" w:after="290" w:line="376" w:lineRule="auto"/>
      <w:outlineLvl w:val="3"/>
    </w:pPr>
    <w:rPr>
      <w:rFonts w:ascii="Arial" w:hAnsi="Arial" w:eastAsia="黑体" w:cs="Times New Roman"/>
      <w:b/>
      <w:bCs/>
      <w:sz w:val="28"/>
      <w:szCs w:val="28"/>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0"/>
    <w:pPr>
      <w:ind w:firstLine="420" w:firstLineChars="200"/>
    </w:pPr>
    <w:rPr>
      <w:rFonts w:eastAsia="宋体"/>
      <w:szCs w:val="24"/>
    </w:rPr>
  </w:style>
  <w:style w:type="paragraph" w:styleId="7">
    <w:name w:val="Body Text First Indent 2"/>
    <w:basedOn w:val="1"/>
    <w:next w:val="1"/>
    <w:semiHidden/>
    <w:unhideWhenUsed/>
    <w:qFormat/>
    <w:uiPriority w:val="99"/>
    <w:pPr>
      <w:spacing w:after="120"/>
      <w:ind w:left="420" w:leftChars="200" w:firstLine="420"/>
    </w:pPr>
    <w:rPr>
      <w:rFonts w:ascii="Times New Roman" w:hAnsi="Times New Roman" w:eastAsia="宋体"/>
    </w:rPr>
  </w:style>
  <w:style w:type="paragraph" w:styleId="8">
    <w:name w:val="annotation text"/>
    <w:basedOn w:val="1"/>
    <w:link w:val="27"/>
    <w:unhideWhenUsed/>
    <w:qFormat/>
    <w:uiPriority w:val="99"/>
    <w:pPr>
      <w:jc w:val="left"/>
    </w:pPr>
  </w:style>
  <w:style w:type="paragraph" w:styleId="9">
    <w:name w:val="Block Text"/>
    <w:basedOn w:val="1"/>
    <w:next w:val="1"/>
    <w:semiHidden/>
    <w:unhideWhenUsed/>
    <w:qFormat/>
    <w:uiPriority w:val="99"/>
    <w:pPr>
      <w:adjustRightInd w:val="0"/>
      <w:snapToGrid w:val="0"/>
      <w:spacing w:line="440" w:lineRule="exact"/>
      <w:ind w:left="402" w:right="108" w:firstLine="450"/>
    </w:pPr>
    <w:rPr>
      <w:rFonts w:ascii="宋体" w:hAnsi="宋体" w:eastAsia="宋体" w:cs="Times New Roman"/>
      <w:sz w:val="24"/>
      <w:szCs w:val="20"/>
    </w:rPr>
  </w:style>
  <w:style w:type="paragraph" w:styleId="10">
    <w:name w:val="Balloon Text"/>
    <w:basedOn w:val="1"/>
    <w:link w:val="29"/>
    <w:unhideWhenUsed/>
    <w:qFormat/>
    <w:uiPriority w:val="99"/>
    <w:rPr>
      <w:sz w:val="18"/>
      <w:szCs w:val="18"/>
    </w:rPr>
  </w:style>
  <w:style w:type="paragraph" w:styleId="11">
    <w:name w:val="footer"/>
    <w:basedOn w:val="1"/>
    <w:link w:val="21"/>
    <w:unhideWhenUsed/>
    <w:qFormat/>
    <w:uiPriority w:val="99"/>
    <w:pPr>
      <w:tabs>
        <w:tab w:val="center" w:pos="4153"/>
        <w:tab w:val="right" w:pos="8306"/>
      </w:tabs>
      <w:snapToGrid w:val="0"/>
      <w:jc w:val="left"/>
    </w:pPr>
    <w:rPr>
      <w:sz w:val="18"/>
      <w:szCs w:val="18"/>
    </w:rPr>
  </w:style>
  <w:style w:type="paragraph" w:styleId="12">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4">
    <w:name w:val="annotation subject"/>
    <w:basedOn w:val="8"/>
    <w:next w:val="8"/>
    <w:link w:val="28"/>
    <w:unhideWhenUsed/>
    <w:qFormat/>
    <w:uiPriority w:val="99"/>
    <w:rPr>
      <w:b/>
      <w:bCs/>
    </w:rPr>
  </w:style>
  <w:style w:type="table" w:styleId="16">
    <w:name w:val="Table Grid"/>
    <w:basedOn w:val="15"/>
    <w:unhideWhenUsed/>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8">
    <w:name w:val="Hyperlink"/>
    <w:basedOn w:val="17"/>
    <w:unhideWhenUsed/>
    <w:qFormat/>
    <w:uiPriority w:val="99"/>
    <w:rPr>
      <w:color w:val="0000FF"/>
      <w:u w:val="single"/>
    </w:rPr>
  </w:style>
  <w:style w:type="character" w:styleId="19">
    <w:name w:val="annotation reference"/>
    <w:basedOn w:val="17"/>
    <w:unhideWhenUsed/>
    <w:qFormat/>
    <w:uiPriority w:val="99"/>
    <w:rPr>
      <w:sz w:val="21"/>
      <w:szCs w:val="21"/>
    </w:rPr>
  </w:style>
  <w:style w:type="character" w:customStyle="1" w:styleId="20">
    <w:name w:val="页眉 Char"/>
    <w:basedOn w:val="17"/>
    <w:link w:val="12"/>
    <w:qFormat/>
    <w:uiPriority w:val="99"/>
    <w:rPr>
      <w:sz w:val="18"/>
      <w:szCs w:val="18"/>
    </w:rPr>
  </w:style>
  <w:style w:type="character" w:customStyle="1" w:styleId="21">
    <w:name w:val="页脚 Char"/>
    <w:basedOn w:val="17"/>
    <w:link w:val="11"/>
    <w:qFormat/>
    <w:uiPriority w:val="99"/>
    <w:rPr>
      <w:sz w:val="18"/>
      <w:szCs w:val="18"/>
    </w:rPr>
  </w:style>
  <w:style w:type="character" w:customStyle="1" w:styleId="22">
    <w:name w:val="标题 3 Char"/>
    <w:basedOn w:val="17"/>
    <w:link w:val="4"/>
    <w:qFormat/>
    <w:uiPriority w:val="0"/>
    <w:rPr>
      <w:rFonts w:ascii="宋体" w:hAnsi="宋体" w:eastAsia="宋体"/>
      <w:sz w:val="24"/>
      <w:szCs w:val="24"/>
    </w:rPr>
  </w:style>
  <w:style w:type="character" w:customStyle="1" w:styleId="23">
    <w:name w:val="正文2 Char Char"/>
    <w:basedOn w:val="17"/>
    <w:link w:val="24"/>
    <w:qFormat/>
    <w:uiPriority w:val="0"/>
    <w:rPr>
      <w:spacing w:val="18"/>
      <w:sz w:val="32"/>
    </w:rPr>
  </w:style>
  <w:style w:type="paragraph" w:customStyle="1" w:styleId="24">
    <w:name w:val="正文2"/>
    <w:link w:val="23"/>
    <w:qFormat/>
    <w:uiPriority w:val="0"/>
    <w:pPr>
      <w:widowControl w:val="0"/>
      <w:suppressAutoHyphens/>
      <w:spacing w:line="520" w:lineRule="atLeast"/>
      <w:ind w:firstLine="680"/>
      <w:jc w:val="both"/>
    </w:pPr>
    <w:rPr>
      <w:rFonts w:asciiTheme="minorHAnsi" w:hAnsiTheme="minorHAnsi" w:eastAsiaTheme="minorEastAsia" w:cstheme="minorBidi"/>
      <w:spacing w:val="18"/>
      <w:kern w:val="2"/>
      <w:sz w:val="32"/>
      <w:szCs w:val="22"/>
      <w:lang w:val="en-US" w:eastAsia="zh-CN" w:bidi="ar-SA"/>
    </w:rPr>
  </w:style>
  <w:style w:type="paragraph" w:customStyle="1" w:styleId="25">
    <w:name w:val="Default"/>
    <w:qFormat/>
    <w:uiPriority w:val="0"/>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批注文字 Char"/>
    <w:basedOn w:val="17"/>
    <w:link w:val="8"/>
    <w:semiHidden/>
    <w:qFormat/>
    <w:uiPriority w:val="99"/>
  </w:style>
  <w:style w:type="character" w:customStyle="1" w:styleId="28">
    <w:name w:val="批注主题 Char"/>
    <w:basedOn w:val="27"/>
    <w:link w:val="14"/>
    <w:semiHidden/>
    <w:qFormat/>
    <w:uiPriority w:val="99"/>
    <w:rPr>
      <w:b/>
      <w:bCs/>
    </w:rPr>
  </w:style>
  <w:style w:type="character" w:customStyle="1" w:styleId="29">
    <w:name w:val="批注框文本 Char"/>
    <w:basedOn w:val="17"/>
    <w:link w:val="10"/>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513</Words>
  <Characters>2925</Characters>
  <Lines>24</Lines>
  <Paragraphs>6</Paragraphs>
  <TotalTime>2</TotalTime>
  <ScaleCrop>false</ScaleCrop>
  <LinksUpToDate>false</LinksUpToDate>
  <CharactersWithSpaces>3432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2017-10-29T04:40:00Z</dcterms:created>
  <dc:creator>雷国伟</dc:creator>
  <cp:lastModifiedBy>赵凤新</cp:lastModifiedBy>
  <cp:lastPrinted>2018-10-10T02:28:00Z</cp:lastPrinted>
  <dcterms:modified xsi:type="dcterms:W3CDTF">2020-11-28T00:17:57Z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